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 </w:t>
      </w:r>
      <w:r w:rsidR="002B06E8" w:rsidRPr="002B06E8">
        <w:rPr>
          <w:b/>
          <w:color w:val="000000"/>
          <w:sz w:val="28"/>
          <w:szCs w:val="28"/>
        </w:rPr>
        <w:t>07  декабря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0305D1">
        <w:rPr>
          <w:b/>
          <w:sz w:val="28"/>
          <w:szCs w:val="28"/>
        </w:rPr>
        <w:t>3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 декабря</w:t>
      </w:r>
      <w:r w:rsidR="005C31A6" w:rsidRPr="003E5298">
        <w:rPr>
          <w:sz w:val="28"/>
          <w:szCs w:val="28"/>
        </w:rPr>
        <w:t xml:space="preserve"> 202</w:t>
      </w:r>
      <w:r w:rsidR="000305D1">
        <w:rPr>
          <w:sz w:val="28"/>
          <w:szCs w:val="28"/>
        </w:rPr>
        <w:t>3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C0712C">
        <w:rPr>
          <w:color w:val="000000"/>
          <w:spacing w:val="-5"/>
          <w:sz w:val="28"/>
          <w:szCs w:val="28"/>
        </w:rPr>
        <w:t>сорока восьми</w:t>
      </w:r>
      <w:r w:rsidR="00AE777D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Default="00C0712C" w:rsidP="00C0712C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 О повторном рассмотрении</w:t>
      </w:r>
      <w:r w:rsidRPr="00070264">
        <w:rPr>
          <w:color w:val="000000"/>
          <w:spacing w:val="-5"/>
          <w:sz w:val="28"/>
          <w:szCs w:val="28"/>
        </w:rPr>
        <w:t xml:space="preserve"> </w:t>
      </w:r>
      <w:r w:rsidRPr="003E5298">
        <w:rPr>
          <w:color w:val="000000"/>
          <w:spacing w:val="-5"/>
          <w:sz w:val="28"/>
          <w:szCs w:val="28"/>
        </w:rPr>
        <w:t>представления руководителя О</w:t>
      </w:r>
      <w:r>
        <w:rPr>
          <w:color w:val="000000"/>
          <w:spacing w:val="-5"/>
          <w:sz w:val="28"/>
          <w:szCs w:val="28"/>
        </w:rPr>
        <w:t>С</w:t>
      </w:r>
      <w:r w:rsidRPr="003E5298">
        <w:rPr>
          <w:color w:val="000000"/>
          <w:spacing w:val="-5"/>
          <w:sz w:val="28"/>
          <w:szCs w:val="28"/>
        </w:rPr>
        <w:t xml:space="preserve">ФР по Владимирской области в отношении уведомлений работниками </w:t>
      </w:r>
      <w:r>
        <w:rPr>
          <w:color w:val="000000"/>
          <w:spacing w:val="-5"/>
          <w:sz w:val="28"/>
          <w:szCs w:val="28"/>
        </w:rPr>
        <w:t>С</w:t>
      </w:r>
      <w:r w:rsidRPr="003E5298">
        <w:rPr>
          <w:color w:val="000000"/>
          <w:spacing w:val="-5"/>
          <w:sz w:val="28"/>
          <w:szCs w:val="28"/>
        </w:rPr>
        <w:t>ФР нанимателя о возникновении конфликта интересов или возможности его возникновения</w:t>
      </w:r>
      <w:r>
        <w:rPr>
          <w:color w:val="000000"/>
          <w:spacing w:val="-5"/>
          <w:sz w:val="28"/>
          <w:szCs w:val="28"/>
        </w:rPr>
        <w:t xml:space="preserve">, поступившего от  двух работников.  </w:t>
      </w:r>
    </w:p>
    <w:p w:rsidR="00C0712C" w:rsidRDefault="00C0712C" w:rsidP="00794DB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46C18">
        <w:rPr>
          <w:color w:val="000000"/>
          <w:sz w:val="28"/>
          <w:szCs w:val="28"/>
        </w:rPr>
        <w:t>О рассмотрении представления управляющего О</w:t>
      </w:r>
      <w:r>
        <w:rPr>
          <w:color w:val="000000"/>
          <w:sz w:val="28"/>
          <w:szCs w:val="28"/>
        </w:rPr>
        <w:t>С</w:t>
      </w:r>
      <w:r w:rsidRPr="00C46C18">
        <w:rPr>
          <w:color w:val="000000"/>
          <w:sz w:val="28"/>
          <w:szCs w:val="28"/>
        </w:rPr>
        <w:t xml:space="preserve">ФР по Владимирской области подготовленного </w:t>
      </w:r>
      <w:r>
        <w:rPr>
          <w:color w:val="000000"/>
          <w:sz w:val="28"/>
          <w:szCs w:val="28"/>
        </w:rPr>
        <w:t>отделом кадров</w:t>
      </w:r>
      <w:r w:rsidRPr="00C46C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анализа сведений о </w:t>
      </w:r>
      <w:r w:rsidRPr="00C46C18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за 202</w:t>
      </w:r>
      <w:r>
        <w:rPr>
          <w:color w:val="000000"/>
          <w:sz w:val="28"/>
          <w:szCs w:val="28"/>
        </w:rPr>
        <w:t>2</w:t>
      </w:r>
      <w:r w:rsidRPr="00C46C18">
        <w:rPr>
          <w:color w:val="000000"/>
          <w:sz w:val="28"/>
          <w:szCs w:val="28"/>
        </w:rPr>
        <w:t xml:space="preserve"> год работников Отделения и руководителей территориальных органов </w:t>
      </w:r>
      <w:r>
        <w:rPr>
          <w:color w:val="000000"/>
          <w:sz w:val="28"/>
          <w:szCs w:val="28"/>
        </w:rPr>
        <w:t>ОСФ</w:t>
      </w:r>
      <w:r w:rsidRPr="00C46C1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по</w:t>
      </w:r>
      <w:r w:rsidRPr="00C46C18">
        <w:rPr>
          <w:color w:val="000000"/>
          <w:sz w:val="28"/>
          <w:szCs w:val="28"/>
        </w:rPr>
        <w:t xml:space="preserve"> Владимирской области в отношении </w:t>
      </w:r>
      <w:r>
        <w:rPr>
          <w:color w:val="000000"/>
          <w:sz w:val="28"/>
          <w:szCs w:val="28"/>
        </w:rPr>
        <w:t>сорока пяти</w:t>
      </w:r>
      <w:r w:rsidRPr="00C46C18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.</w:t>
      </w:r>
    </w:p>
    <w:p w:rsidR="00C0712C" w:rsidRPr="00C0712C" w:rsidRDefault="00C0712C" w:rsidP="00C0712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>Вопросы рассматриваются в соответствии с подпунктом «а»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C0712C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 xml:space="preserve">ии порядка принятия Комиссией решений по всем рассматриваемым </w:t>
      </w:r>
      <w:r w:rsidR="00EA34F2" w:rsidRPr="003E5298">
        <w:rPr>
          <w:sz w:val="28"/>
          <w:szCs w:val="28"/>
        </w:rPr>
        <w:lastRenderedPageBreak/>
        <w:t>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C0712C">
        <w:rPr>
          <w:sz w:val="28"/>
          <w:szCs w:val="28"/>
        </w:rPr>
        <w:t>сорока</w:t>
      </w:r>
      <w:r w:rsidR="009257ED">
        <w:rPr>
          <w:sz w:val="28"/>
          <w:szCs w:val="28"/>
        </w:rPr>
        <w:t xml:space="preserve"> 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C0712C">
        <w:rPr>
          <w:sz w:val="28"/>
          <w:szCs w:val="28"/>
        </w:rPr>
        <w:t>шести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D06AE5">
        <w:rPr>
          <w:sz w:val="28"/>
          <w:szCs w:val="28"/>
        </w:rPr>
        <w:t>выплаты</w:t>
      </w:r>
      <w:r w:rsidR="000A4D51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 xml:space="preserve">единовременной выплаты средств пенсионных накоплений, </w:t>
      </w:r>
      <w:r w:rsidR="00DC18EE">
        <w:rPr>
          <w:sz w:val="28"/>
          <w:szCs w:val="28"/>
        </w:rPr>
        <w:t xml:space="preserve"> </w:t>
      </w:r>
      <w:r w:rsidR="00D06AE5">
        <w:rPr>
          <w:sz w:val="28"/>
          <w:szCs w:val="28"/>
        </w:rPr>
        <w:t xml:space="preserve">назначения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C0712C">
        <w:rPr>
          <w:sz w:val="28"/>
          <w:szCs w:val="28"/>
        </w:rPr>
        <w:t>распоряжения средствами материнского (семейного) капитала, назначения ЕДВ как ветерану боевых действий</w:t>
      </w:r>
      <w:r w:rsidR="001C4380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2B33BB">
        <w:rPr>
          <w:sz w:val="28"/>
          <w:szCs w:val="28"/>
        </w:rPr>
        <w:t>.</w:t>
      </w:r>
    </w:p>
    <w:p w:rsidR="00C0712C" w:rsidRDefault="00C0712C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AA1BBF">
        <w:rPr>
          <w:sz w:val="28"/>
          <w:szCs w:val="28"/>
        </w:rPr>
        <w:t xml:space="preserve"> - по двум работникам </w:t>
      </w:r>
      <w:r w:rsidR="00AA1BBF" w:rsidRPr="00AA1BBF">
        <w:rPr>
          <w:sz w:val="28"/>
          <w:szCs w:val="28"/>
        </w:rPr>
        <w:t>конфликт интересов в настоящий момент отсутствует. Рекомендовать управляющему ОСФР по Владимирской области принять меры по предотвращению возникновения конфликта интересов и  указать работникам на необходимость выполнения иной оплачиваемой работы  в свободное от основной работы время.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701C">
        <w:rPr>
          <w:sz w:val="28"/>
          <w:szCs w:val="28"/>
        </w:rPr>
        <w:t xml:space="preserve"> По </w:t>
      </w:r>
      <w:r>
        <w:rPr>
          <w:sz w:val="28"/>
          <w:szCs w:val="28"/>
        </w:rPr>
        <w:t>третье</w:t>
      </w:r>
      <w:r w:rsidRPr="00FE701C">
        <w:rPr>
          <w:sz w:val="28"/>
          <w:szCs w:val="28"/>
        </w:rPr>
        <w:t>му вопросу единогласно приняты следующие решения: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двум </w:t>
      </w:r>
      <w:r w:rsidRPr="003E5298">
        <w:rPr>
          <w:sz w:val="28"/>
          <w:szCs w:val="28"/>
        </w:rPr>
        <w:t>работникам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>
        <w:rPr>
          <w:sz w:val="28"/>
          <w:szCs w:val="28"/>
        </w:rPr>
        <w:t>.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четвертому вопросу </w:t>
      </w:r>
      <w:r w:rsidRPr="00FE701C">
        <w:rPr>
          <w:sz w:val="28"/>
          <w:szCs w:val="28"/>
        </w:rPr>
        <w:t>единогласно приняты следующие решения:</w:t>
      </w:r>
    </w:p>
    <w:p w:rsidR="00AA1BBF" w:rsidRPr="00C46C18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5876D6">
        <w:rPr>
          <w:sz w:val="28"/>
          <w:szCs w:val="28"/>
        </w:rPr>
        <w:t>двадцати пяти</w:t>
      </w:r>
      <w:r w:rsidRPr="00C46C1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 w:rsidR="005876D6">
        <w:rPr>
          <w:sz w:val="28"/>
          <w:szCs w:val="28"/>
        </w:rPr>
        <w:t>2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законодательства о противодействии коррупции.</w:t>
      </w:r>
    </w:p>
    <w:p w:rsidR="00AA1BBF" w:rsidRPr="00C46C18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5876D6">
        <w:rPr>
          <w:sz w:val="28"/>
          <w:szCs w:val="28"/>
        </w:rPr>
        <w:t xml:space="preserve">одиннадцати </w:t>
      </w:r>
      <w:r w:rsidRPr="00C46C18">
        <w:rPr>
          <w:sz w:val="28"/>
          <w:szCs w:val="28"/>
        </w:rPr>
        <w:t xml:space="preserve">работникам рассмотрение вопроса о возможном наличии нарушений законодательства о противодействии коррупции перенесено в связи с необходимостью предоставления дополнительных материалов и сведений. Вернуться к рассмотрению </w:t>
      </w:r>
      <w:r>
        <w:rPr>
          <w:sz w:val="28"/>
          <w:szCs w:val="28"/>
        </w:rPr>
        <w:t>вопроса</w:t>
      </w:r>
      <w:r w:rsidRPr="00C46C18">
        <w:rPr>
          <w:sz w:val="28"/>
          <w:szCs w:val="28"/>
        </w:rPr>
        <w:t xml:space="preserve"> после получения запрашиваемых документов.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BC5E55">
        <w:rPr>
          <w:sz w:val="28"/>
          <w:szCs w:val="28"/>
        </w:rPr>
        <w:t xml:space="preserve">- по </w:t>
      </w:r>
      <w:r>
        <w:rPr>
          <w:sz w:val="28"/>
          <w:szCs w:val="28"/>
        </w:rPr>
        <w:t>пяти</w:t>
      </w:r>
      <w:r w:rsidRPr="00BC5E5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BC5E55">
        <w:rPr>
          <w:sz w:val="28"/>
          <w:szCs w:val="28"/>
        </w:rPr>
        <w:t xml:space="preserve"> рассмотрение вопроса о возможном наличии нарушений законодательства о противодействии коррупции перенесено в связи </w:t>
      </w:r>
      <w:r>
        <w:rPr>
          <w:sz w:val="28"/>
          <w:szCs w:val="28"/>
        </w:rPr>
        <w:t>с их временной нетрудоспособностью и нахождением в очередном отпуске. Вернуться к рассмотрению вопроса после выхода на работу</w:t>
      </w:r>
      <w:r w:rsidR="005876D6">
        <w:rPr>
          <w:sz w:val="28"/>
          <w:szCs w:val="28"/>
        </w:rPr>
        <w:t>.</w:t>
      </w:r>
    </w:p>
    <w:p w:rsidR="005876D6" w:rsidRPr="005876D6" w:rsidRDefault="005876D6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5876D6">
        <w:rPr>
          <w:sz w:val="28"/>
          <w:szCs w:val="28"/>
        </w:rPr>
        <w:t xml:space="preserve">- по четырем работникам нарушений в заполнении сведений не выявлено. Представлены полные и достоверные сведения о доходах, расходах, об имуществе и обязательствах имущественного характера за 2021 и 2022 гг. </w:t>
      </w:r>
    </w:p>
    <w:p w:rsidR="005876D6" w:rsidRDefault="005876D6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>
        <w:rPr>
          <w:sz w:val="28"/>
          <w:szCs w:val="28"/>
        </w:rPr>
        <w:t xml:space="preserve">   </w:t>
      </w:r>
    </w:p>
    <w:p w:rsidR="005876D6" w:rsidRDefault="005876D6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поручений заместителя управляющего ОСФР по Владимирской области, касаемо принятия специалистом Клиентской службы (на правах отдела) заявления о назначении компенсационной выплаты ее родственника Комиссия постановила, что конфликт интересов в настоящее время отсутствует. Управляющему ОСФР по Владимирской области рекомендовано поручить руководителю Клиентской службы (на правах отдела) поставить на контроль вопрос о недопустимости приема специалистами Клиентской службы (на правах отдела) заявлений своих близких родственников, ознакомить начальника Управления организации работы клиентских служб с выявленными обстоятельствами. </w:t>
      </w:r>
    </w:p>
    <w:p w:rsidR="001C2AA5" w:rsidRDefault="001C2AA5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</w:p>
    <w:sectPr w:rsidR="001C2AA5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42136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90D5F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33462"/>
    <w:rsid w:val="00F47100"/>
    <w:rsid w:val="00F50B97"/>
    <w:rsid w:val="00F65C2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E1442-CB63-47C7-89AC-67AE593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3E4E-150A-4126-9ED3-7BD333D3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2025-01-09T08:15:00Z</dcterms:created>
  <dcterms:modified xsi:type="dcterms:W3CDTF">2025-01-09T08:15:00Z</dcterms:modified>
</cp:coreProperties>
</file>