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67"/>
        <w:jc w:val="right"/>
        <w:rPr>
          <w:sz w:val="22"/>
          <w:szCs w:val="22"/>
        </w:rPr>
      </w:pPr>
      <w:r>
        <w:rPr>
          <w:sz w:val="22"/>
          <w:szCs w:val="22"/>
        </w:rPr>
      </w:r>
    </w:p>
    <w:p>
      <w:pPr>
        <w:pStyle w:val="Normal"/>
        <w:ind w:firstLine="567"/>
        <w:jc w:val="right"/>
        <w:rPr>
          <w:sz w:val="22"/>
          <w:szCs w:val="22"/>
        </w:rPr>
      </w:pPr>
      <w:r>
        <w:rPr>
          <w:sz w:val="22"/>
          <w:szCs w:val="22"/>
        </w:rPr>
        <w:t xml:space="preserve">Приложение 7 </w:t>
      </w:r>
    </w:p>
    <w:p>
      <w:pPr>
        <w:pStyle w:val="Normal"/>
        <w:ind w:firstLine="567"/>
        <w:jc w:val="right"/>
        <w:rPr>
          <w:sz w:val="22"/>
          <w:szCs w:val="22"/>
        </w:rPr>
      </w:pPr>
      <w:r>
        <w:rPr>
          <w:sz w:val="22"/>
          <w:szCs w:val="22"/>
        </w:rPr>
        <w:t xml:space="preserve">к Учетной политике ОСФР </w:t>
      </w:r>
    </w:p>
    <w:p>
      <w:pPr>
        <w:pStyle w:val="Normal"/>
        <w:ind w:firstLine="567"/>
        <w:jc w:val="right"/>
        <w:rPr>
          <w:sz w:val="22"/>
          <w:szCs w:val="22"/>
        </w:rPr>
      </w:pPr>
      <w:r>
        <w:rPr>
          <w:sz w:val="22"/>
          <w:szCs w:val="22"/>
        </w:rPr>
        <w:t xml:space="preserve">по Тульской области </w:t>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bookmarkStart w:id="0" w:name="_GoBack"/>
      <w:bookmarkStart w:id="1" w:name="_GoBack"/>
      <w:bookmarkEnd w:id="1"/>
    </w:p>
    <w:p>
      <w:pPr>
        <w:pStyle w:val="Normal"/>
        <w:ind w:firstLine="567"/>
        <w:jc w:val="center"/>
        <w:rPr>
          <w:sz w:val="28"/>
          <w:szCs w:val="28"/>
        </w:rPr>
      </w:pPr>
      <w:r>
        <w:rPr>
          <w:sz w:val="28"/>
          <w:szCs w:val="28"/>
        </w:rPr>
        <w:t xml:space="preserve">Положение </w:t>
      </w:r>
    </w:p>
    <w:p>
      <w:pPr>
        <w:pStyle w:val="Normal"/>
        <w:ind w:firstLine="567"/>
        <w:jc w:val="center"/>
        <w:rPr>
          <w:sz w:val="28"/>
          <w:szCs w:val="28"/>
        </w:rPr>
      </w:pPr>
      <w:r>
        <w:rPr>
          <w:sz w:val="28"/>
          <w:szCs w:val="28"/>
        </w:rPr>
        <w:t>о</w:t>
      </w:r>
      <w:r>
        <w:rPr>
          <w:bCs/>
          <w:sz w:val="28"/>
          <w:szCs w:val="28"/>
        </w:rPr>
        <w:t xml:space="preserve"> внутреннем финансовом контроле </w:t>
      </w:r>
      <w:r>
        <w:rPr>
          <w:sz w:val="28"/>
          <w:szCs w:val="28"/>
        </w:rPr>
        <w:t>в  Отделении Фонда пенсионного и социального страхования РФ по Тульской области</w:t>
      </w:r>
    </w:p>
    <w:p>
      <w:pPr>
        <w:pStyle w:val="Normal"/>
        <w:ind w:firstLine="567"/>
        <w:jc w:val="center"/>
        <w:rPr>
          <w:b/>
          <w:bCs/>
          <w:sz w:val="28"/>
          <w:szCs w:val="28"/>
        </w:rPr>
      </w:pPr>
      <w:r>
        <w:rPr>
          <w:b/>
          <w:bCs/>
          <w:sz w:val="28"/>
          <w:szCs w:val="28"/>
        </w:rPr>
      </w:r>
    </w:p>
    <w:p>
      <w:pPr>
        <w:pStyle w:val="ListParagraph"/>
        <w:numPr>
          <w:ilvl w:val="0"/>
          <w:numId w:val="1"/>
        </w:numPr>
        <w:jc w:val="center"/>
        <w:rPr>
          <w:b/>
          <w:bCs/>
        </w:rPr>
      </w:pPr>
      <w:r>
        <w:rPr>
          <w:b/>
          <w:bCs/>
          <w:sz w:val="28"/>
          <w:szCs w:val="28"/>
        </w:rPr>
        <w:t>Общие положения</w:t>
      </w:r>
    </w:p>
    <w:p>
      <w:pPr>
        <w:pStyle w:val="Normal"/>
        <w:ind w:left="567"/>
        <w:jc w:val="center"/>
        <w:rPr>
          <w:sz w:val="28"/>
          <w:szCs w:val="28"/>
        </w:rPr>
      </w:pPr>
      <w:r>
        <w:rPr>
          <w:sz w:val="28"/>
          <w:szCs w:val="28"/>
        </w:rPr>
      </w:r>
    </w:p>
    <w:p>
      <w:pPr>
        <w:pStyle w:val="Normal"/>
        <w:ind w:firstLine="567"/>
        <w:jc w:val="both"/>
        <w:rPr>
          <w:sz w:val="28"/>
          <w:szCs w:val="28"/>
        </w:rPr>
      </w:pPr>
      <w:r>
        <w:rPr>
          <w:sz w:val="28"/>
          <w:szCs w:val="28"/>
        </w:rPr>
        <w:t>1. Положение о</w:t>
      </w:r>
      <w:r>
        <w:rPr>
          <w:bCs/>
          <w:sz w:val="28"/>
          <w:szCs w:val="28"/>
        </w:rPr>
        <w:t xml:space="preserve"> внутреннем финансовом контроле </w:t>
      </w:r>
      <w:r>
        <w:rPr>
          <w:sz w:val="28"/>
          <w:szCs w:val="28"/>
        </w:rPr>
        <w:t xml:space="preserve">в Отделении Фонда пенсионного и социального страхования Российской Федервции по Тульской области (далее – Положение) разработано в целях установления требований к осуществлению внутреннего контроля в Отделении при выполнении функций и осуществлении полномочий. </w:t>
      </w:r>
    </w:p>
    <w:p>
      <w:pPr>
        <w:pStyle w:val="Normal"/>
        <w:ind w:firstLine="567"/>
        <w:jc w:val="both"/>
        <w:rPr>
          <w:sz w:val="28"/>
          <w:szCs w:val="28"/>
        </w:rPr>
      </w:pPr>
      <w:r>
        <w:rPr>
          <w:sz w:val="28"/>
          <w:szCs w:val="28"/>
        </w:rPr>
        <w:t>Требование об организации и осуществлении внутреннего контроля установлено ч.1 ст.19 ФЗ от 06.12.2011 №402- ФЗ «О бухгалтерском учете»,            пп. 20, 23 СГС «Концептуальные основы», пп.е, п. 9 Стандарта "Учетная политика, оценочные значения и ошибки".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t>2. Внутренний финансовый контроль направлен:</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на обеспечение соблюдения законодательства РФ в сфере финансовой деятельности;</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xml:space="preserve">- обеспечение внутренних процедур исполнения бюджета; </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недопустимость финансовых нарушений в процессе деятельности учреждения;</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xml:space="preserve">- повышение качества ведения бухгалтерского учета, составления и достоверности бухгалтерской отчетности; </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эффективное использование бюджетных средств;</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предотвращение ошибок и искажений;</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сохранность имущества учреждения.</w:t>
      </w:r>
    </w:p>
    <w:p>
      <w:pPr>
        <w:pStyle w:val="Normal"/>
        <w:ind w:firstLine="720"/>
        <w:jc w:val="both"/>
        <w:rPr>
          <w:rFonts w:ascii="Arial" w:hAnsi="Arial" w:eastAsia="Calibri" w:cs="Arial" w:eastAsiaTheme="minorHAnsi"/>
          <w:sz w:val="24"/>
          <w:szCs w:val="24"/>
          <w:lang w:eastAsia="en-US"/>
        </w:rPr>
      </w:pPr>
      <w:r>
        <w:rPr>
          <w:rFonts w:eastAsia="Calibri" w:cs="Arial" w:eastAsiaTheme="minorHAnsi" w:ascii="Arial" w:hAnsi="Arial"/>
          <w:sz w:val="24"/>
          <w:szCs w:val="24"/>
          <w:lang w:eastAsia="en-US"/>
        </w:rPr>
      </w:r>
    </w:p>
    <w:p>
      <w:pPr>
        <w:pStyle w:val="Normal"/>
        <w:widowControl w:val="false"/>
        <w:ind w:firstLine="540"/>
        <w:jc w:val="both"/>
        <w:rPr>
          <w:sz w:val="28"/>
          <w:szCs w:val="28"/>
        </w:rPr>
      </w:pPr>
      <w:r>
        <w:rPr>
          <w:sz w:val="28"/>
          <w:szCs w:val="28"/>
        </w:rPr>
        <w:t>3. Субъектами внутреннего финансового контроля являются: руководство и работники Отделения СФР по Тульской области.</w:t>
      </w:r>
    </w:p>
    <w:p>
      <w:pPr>
        <w:pStyle w:val="Normal"/>
        <w:widowControl w:val="false"/>
        <w:ind w:firstLine="539"/>
        <w:jc w:val="both"/>
        <w:rPr>
          <w:sz w:val="28"/>
          <w:szCs w:val="28"/>
        </w:rPr>
      </w:pPr>
      <w:r>
        <w:rPr>
          <w:sz w:val="28"/>
          <w:szCs w:val="28"/>
        </w:rPr>
        <w:t>Внутренний финансовый контроль осуществляется субъектами внутреннего финансового контроля в рамках закрепленных соответствующими нормативными правовыми актами о распределении обязанностей, положениями о функциях и полномочиях структурных подразделений  Отделения, в соответствии с должностными инструкциями работников, а также организационно-распорядительными документами Отделения.</w:t>
      </w:r>
    </w:p>
    <w:p>
      <w:pPr>
        <w:pStyle w:val="Normal"/>
        <w:widowControl w:val="false"/>
        <w:ind w:firstLine="539"/>
        <w:jc w:val="both"/>
        <w:rPr>
          <w:sz w:val="28"/>
          <w:szCs w:val="28"/>
        </w:rPr>
      </w:pPr>
      <w:r>
        <w:rPr>
          <w:sz w:val="28"/>
          <w:szCs w:val="28"/>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Достоверность данных, содержащихся в первичных учетных документах обеспечивают лица, ответственные за оформление факта хозяйственной жизни и (или) подписавшие эти документы (ч.3ст.9 ФЗ от 06.12.2011 №402- ФЗ).</w:t>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t>4. Объектами внутреннего финансового контроля являются:</w:t>
      </w:r>
    </w:p>
    <w:p>
      <w:pPr>
        <w:pStyle w:val="Normal"/>
        <w:widowControl w:val="false"/>
        <w:tabs>
          <w:tab w:val="clear" w:pos="720"/>
          <w:tab w:val="left" w:pos="567" w:leader="none"/>
        </w:tabs>
        <w:ind w:firstLine="567"/>
        <w:jc w:val="both"/>
        <w:rPr>
          <w:rFonts w:ascii="Arial" w:hAnsi="Arial" w:eastAsia="Calibri" w:cs="Arial" w:eastAsiaTheme="minorHAnsi"/>
          <w:sz w:val="24"/>
          <w:szCs w:val="24"/>
          <w:lang w:eastAsia="en-US"/>
        </w:rPr>
      </w:pPr>
      <w:r>
        <w:rPr>
          <w:sz w:val="28"/>
          <w:szCs w:val="28"/>
        </w:rPr>
        <w:t>- операции и действия, необходимые для выполнения функций и осуществления полномочий органов системы СФР;</w:t>
      </w:r>
    </w:p>
    <w:p>
      <w:pPr>
        <w:pStyle w:val="Normal"/>
        <w:tabs>
          <w:tab w:val="clear" w:pos="720"/>
          <w:tab w:val="left" w:pos="567" w:leader="none"/>
        </w:tabs>
        <w:ind w:firstLine="567"/>
        <w:jc w:val="both"/>
        <w:rPr>
          <w:rFonts w:eastAsia="Calibri" w:eastAsiaTheme="minorHAnsi"/>
          <w:sz w:val="28"/>
          <w:szCs w:val="28"/>
          <w:lang w:eastAsia="en-US"/>
        </w:rPr>
      </w:pPr>
      <w:r>
        <w:rPr>
          <w:rFonts w:eastAsia="Calibri" w:eastAsiaTheme="minorHAnsi"/>
          <w:sz w:val="28"/>
          <w:szCs w:val="28"/>
          <w:lang w:eastAsia="en-US"/>
        </w:rPr>
        <w:t>- первичные подтверждающие документы и регистры бухгалтерского учета;</w:t>
      </w:r>
    </w:p>
    <w:p>
      <w:pPr>
        <w:pStyle w:val="Normal"/>
        <w:tabs>
          <w:tab w:val="clear" w:pos="720"/>
          <w:tab w:val="left" w:pos="567" w:leader="none"/>
        </w:tabs>
        <w:ind w:firstLine="567"/>
        <w:jc w:val="both"/>
        <w:rPr>
          <w:rFonts w:eastAsia="Calibri" w:eastAsiaTheme="minorHAnsi"/>
          <w:sz w:val="28"/>
          <w:szCs w:val="28"/>
          <w:lang w:eastAsia="en-US"/>
        </w:rPr>
      </w:pPr>
      <w:r>
        <w:rPr>
          <w:rFonts w:eastAsia="Calibri" w:eastAsiaTheme="minorHAnsi"/>
          <w:sz w:val="28"/>
          <w:szCs w:val="28"/>
          <w:lang w:eastAsia="en-US"/>
        </w:rPr>
        <w:t>- контракты и договоры на приобретение товара (работ, услуг);</w:t>
      </w:r>
    </w:p>
    <w:p>
      <w:pPr>
        <w:pStyle w:val="Normal"/>
        <w:tabs>
          <w:tab w:val="clear" w:pos="720"/>
          <w:tab w:val="left" w:pos="567" w:leader="none"/>
        </w:tabs>
        <w:ind w:firstLine="567"/>
        <w:jc w:val="both"/>
        <w:rPr>
          <w:rFonts w:eastAsia="Calibri" w:eastAsiaTheme="minorHAnsi"/>
          <w:sz w:val="28"/>
          <w:szCs w:val="28"/>
          <w:lang w:eastAsia="en-US"/>
        </w:rPr>
      </w:pPr>
      <w:r>
        <w:rPr>
          <w:rFonts w:eastAsia="Calibri" w:eastAsiaTheme="minorHAnsi"/>
          <w:sz w:val="28"/>
          <w:szCs w:val="28"/>
          <w:lang w:eastAsia="en-US"/>
        </w:rPr>
        <w:t>- локальные акты учреждения;</w:t>
      </w:r>
    </w:p>
    <w:p>
      <w:pPr>
        <w:pStyle w:val="Normal"/>
        <w:tabs>
          <w:tab w:val="clear" w:pos="720"/>
          <w:tab w:val="left" w:pos="567" w:leader="none"/>
        </w:tabs>
        <w:ind w:firstLine="567"/>
        <w:jc w:val="both"/>
        <w:rPr>
          <w:rFonts w:eastAsia="Calibri" w:eastAsiaTheme="minorHAnsi"/>
          <w:sz w:val="28"/>
          <w:szCs w:val="28"/>
          <w:lang w:eastAsia="en-US"/>
        </w:rPr>
      </w:pPr>
      <w:r>
        <w:rPr>
          <w:rFonts w:eastAsia="Calibri" w:eastAsiaTheme="minorHAnsi"/>
          <w:sz w:val="28"/>
          <w:szCs w:val="28"/>
          <w:lang w:eastAsia="en-US"/>
        </w:rPr>
        <w:t>- факты хозяйственной жизни, отраженные в учете учреждения;</w:t>
      </w:r>
    </w:p>
    <w:p>
      <w:pPr>
        <w:pStyle w:val="Normal"/>
        <w:ind w:firstLine="567"/>
        <w:jc w:val="both"/>
        <w:rPr>
          <w:rFonts w:eastAsia="Calibri" w:eastAsiaTheme="minorHAnsi"/>
          <w:sz w:val="28"/>
          <w:szCs w:val="28"/>
          <w:lang w:eastAsia="en-US"/>
        </w:rPr>
      </w:pPr>
      <w:r>
        <w:rPr>
          <w:rFonts w:eastAsia="Calibri" w:eastAsiaTheme="minorHAnsi"/>
          <w:sz w:val="28"/>
          <w:szCs w:val="28"/>
          <w:lang w:eastAsia="en-US"/>
        </w:rPr>
        <w:t xml:space="preserve">- финансовая, налоговая, статистическая и иная отчетность учреждения;     </w:t>
      </w:r>
    </w:p>
    <w:p>
      <w:pPr>
        <w:pStyle w:val="Normal"/>
        <w:ind w:firstLine="567"/>
        <w:jc w:val="both"/>
        <w:rPr>
          <w:rFonts w:eastAsia="Calibri" w:eastAsiaTheme="minorHAnsi"/>
          <w:sz w:val="28"/>
          <w:szCs w:val="28"/>
          <w:lang w:eastAsia="en-US"/>
        </w:rPr>
      </w:pPr>
      <w:r>
        <w:rPr>
          <w:rFonts w:eastAsia="Calibri" w:eastAsiaTheme="minorHAnsi"/>
          <w:sz w:val="28"/>
          <w:szCs w:val="28"/>
          <w:lang w:eastAsia="en-US"/>
        </w:rPr>
        <w:t>- имущество и обязательства учреждения;</w:t>
      </w:r>
    </w:p>
    <w:p>
      <w:pPr>
        <w:pStyle w:val="Normal"/>
        <w:tabs>
          <w:tab w:val="clear" w:pos="720"/>
          <w:tab w:val="left" w:pos="567" w:leader="none"/>
        </w:tabs>
        <w:ind w:firstLine="567"/>
        <w:jc w:val="both"/>
        <w:rPr>
          <w:rFonts w:eastAsia="Calibri" w:eastAsiaTheme="minorHAnsi"/>
          <w:sz w:val="28"/>
          <w:szCs w:val="28"/>
          <w:lang w:eastAsia="en-US"/>
        </w:rPr>
      </w:pPr>
      <w:r>
        <w:rPr>
          <w:rFonts w:eastAsia="Calibri" w:eastAsiaTheme="minorHAnsi"/>
          <w:sz w:val="28"/>
          <w:szCs w:val="28"/>
          <w:lang w:eastAsia="en-US"/>
        </w:rPr>
        <w:t>- штатно-трудовая дисциплина.</w:t>
      </w:r>
    </w:p>
    <w:p>
      <w:pPr>
        <w:pStyle w:val="Normal"/>
        <w:widowControl w:val="false"/>
        <w:ind w:firstLine="539"/>
        <w:jc w:val="both"/>
        <w:rPr>
          <w:sz w:val="28"/>
          <w:szCs w:val="28"/>
        </w:rPr>
      </w:pPr>
      <w:r>
        <w:rPr>
          <w:sz w:val="28"/>
          <w:szCs w:val="28"/>
        </w:rPr>
      </w:r>
    </w:p>
    <w:p>
      <w:pPr>
        <w:pStyle w:val="Normal"/>
        <w:widowControl w:val="false"/>
        <w:ind w:firstLine="539"/>
        <w:jc w:val="both"/>
        <w:rPr>
          <w:sz w:val="28"/>
          <w:szCs w:val="28"/>
        </w:rPr>
      </w:pPr>
      <w:r>
        <w:rPr>
          <w:sz w:val="28"/>
          <w:szCs w:val="28"/>
        </w:rPr>
        <w:t>5. Обобщение и анализ результатов проведения внутреннего контроля осуществляется структурными подразделениями Отделения в рамках компетенции по направлениям деятельности.</w:t>
      </w:r>
    </w:p>
    <w:p>
      <w:pPr>
        <w:pStyle w:val="Normal"/>
        <w:widowControl w:val="false"/>
        <w:numPr>
          <w:ilvl w:val="0"/>
          <w:numId w:val="0"/>
        </w:numPr>
        <w:ind w:hanging="0" w:left="0"/>
        <w:jc w:val="center"/>
        <w:outlineLvl w:val="1"/>
        <w:rPr>
          <w:sz w:val="28"/>
          <w:szCs w:val="28"/>
        </w:rPr>
      </w:pPr>
      <w:r>
        <w:rPr>
          <w:sz w:val="28"/>
          <w:szCs w:val="28"/>
        </w:rPr>
      </w:r>
    </w:p>
    <w:p>
      <w:pPr>
        <w:pStyle w:val="Normal"/>
        <w:widowControl w:val="false"/>
        <w:numPr>
          <w:ilvl w:val="0"/>
          <w:numId w:val="0"/>
        </w:numPr>
        <w:ind w:hanging="0" w:left="0"/>
        <w:jc w:val="center"/>
        <w:outlineLvl w:val="1"/>
        <w:rPr>
          <w:b/>
          <w:bCs/>
        </w:rPr>
      </w:pPr>
      <w:r>
        <w:rPr>
          <w:b/>
          <w:bCs/>
          <w:sz w:val="28"/>
          <w:szCs w:val="28"/>
        </w:rPr>
        <w:t>II. Порядок осуществления внутреннего                                                               финансового контроля</w:t>
      </w:r>
    </w:p>
    <w:p>
      <w:pPr>
        <w:pStyle w:val="Normal"/>
        <w:widowControl w:val="false"/>
        <w:ind w:firstLine="539"/>
        <w:jc w:val="both"/>
        <w:rPr>
          <w:sz w:val="28"/>
          <w:szCs w:val="28"/>
        </w:rPr>
      </w:pPr>
      <w:r>
        <w:rPr>
          <w:sz w:val="28"/>
          <w:szCs w:val="28"/>
        </w:rPr>
      </w:r>
    </w:p>
    <w:p>
      <w:pPr>
        <w:pStyle w:val="Normal"/>
        <w:widowControl w:val="false"/>
        <w:ind w:firstLine="540"/>
        <w:jc w:val="both"/>
        <w:rPr>
          <w:sz w:val="28"/>
          <w:szCs w:val="28"/>
        </w:rPr>
      </w:pPr>
      <w:r>
        <w:rPr>
          <w:sz w:val="28"/>
          <w:szCs w:val="28"/>
        </w:rPr>
        <w:t>6. Внутренний финансовый контроль осуществляется в отношении следующих внутренних процедур:</w:t>
      </w:r>
    </w:p>
    <w:p>
      <w:pPr>
        <w:pStyle w:val="Normal"/>
        <w:widowControl w:val="false"/>
        <w:ind w:firstLine="540"/>
        <w:jc w:val="both"/>
        <w:rPr>
          <w:sz w:val="28"/>
          <w:szCs w:val="28"/>
        </w:rPr>
      </w:pPr>
      <w:r>
        <w:rPr>
          <w:sz w:val="28"/>
          <w:szCs w:val="28"/>
        </w:rPr>
        <w:t>составление и представление в установленном порядке документов, необходимых для составления и рассмотрения проекта бюджета Отделения  и обоснований бюджетных ассигнований;</w:t>
      </w:r>
    </w:p>
    <w:p>
      <w:pPr>
        <w:pStyle w:val="Normal"/>
        <w:widowControl w:val="false"/>
        <w:ind w:firstLine="540"/>
        <w:jc w:val="both"/>
        <w:rPr>
          <w:sz w:val="28"/>
          <w:szCs w:val="28"/>
        </w:rPr>
      </w:pPr>
      <w:r>
        <w:rPr>
          <w:sz w:val="28"/>
          <w:szCs w:val="28"/>
        </w:rPr>
        <w:t>составление и представление в установленном порядке документов, необходимых для составления и ведения кассового плана по доходам и расходам;</w:t>
      </w:r>
    </w:p>
    <w:p>
      <w:pPr>
        <w:pStyle w:val="Normal"/>
        <w:widowControl w:val="false"/>
        <w:ind w:firstLine="540"/>
        <w:jc w:val="both"/>
        <w:rPr>
          <w:sz w:val="28"/>
          <w:szCs w:val="28"/>
        </w:rPr>
      </w:pPr>
      <w:r>
        <w:rPr>
          <w:sz w:val="28"/>
          <w:szCs w:val="28"/>
        </w:rPr>
        <w:t>составление, утверждение и ведение бюджетных смет и (или) свода бюджетных смет;</w:t>
      </w:r>
    </w:p>
    <w:p>
      <w:pPr>
        <w:pStyle w:val="Normal"/>
        <w:widowControl w:val="false"/>
        <w:ind w:firstLine="540"/>
        <w:jc w:val="both"/>
        <w:rPr>
          <w:sz w:val="28"/>
          <w:szCs w:val="28"/>
        </w:rPr>
      </w:pPr>
      <w:r>
        <w:rPr>
          <w:sz w:val="28"/>
          <w:szCs w:val="28"/>
        </w:rPr>
        <w:t>исполнение бюджетной сметы;</w:t>
      </w:r>
    </w:p>
    <w:p>
      <w:pPr>
        <w:pStyle w:val="Normal"/>
        <w:widowControl w:val="false"/>
        <w:ind w:firstLine="540"/>
        <w:jc w:val="both"/>
        <w:rPr>
          <w:sz w:val="28"/>
          <w:szCs w:val="28"/>
        </w:rPr>
      </w:pPr>
      <w:r>
        <w:rPr>
          <w:sz w:val="28"/>
          <w:szCs w:val="28"/>
        </w:rPr>
        <w:t>принятие в пределах доведенных лимитов бюджетных обязательств и (или) бюджетных ассигнований бюджетных обязательств;</w:t>
      </w:r>
    </w:p>
    <w:p>
      <w:pPr>
        <w:pStyle w:val="Normal"/>
        <w:widowControl w:val="false"/>
        <w:ind w:firstLine="540"/>
        <w:jc w:val="both"/>
        <w:rPr>
          <w:sz w:val="28"/>
          <w:szCs w:val="28"/>
        </w:rPr>
      </w:pPr>
      <w:r>
        <w:rPr>
          <w:sz w:val="28"/>
          <w:szCs w:val="28"/>
        </w:rPr>
        <w:t>осуществление начисления, учета и контроля за правильностью исчисления, полнотой и своевременностью осуществления платежей в бюджет СФР, пеней и штрафов по ним;</w:t>
      </w:r>
    </w:p>
    <w:p>
      <w:pPr>
        <w:pStyle w:val="Normal"/>
        <w:widowControl w:val="false"/>
        <w:ind w:firstLine="540"/>
        <w:jc w:val="both"/>
        <w:rPr>
          <w:sz w:val="28"/>
          <w:szCs w:val="28"/>
        </w:rPr>
      </w:pPr>
      <w:r>
        <w:rPr>
          <w:sz w:val="28"/>
          <w:szCs w:val="28"/>
        </w:rPr>
        <w:t>принятие решений о возврате излишне уплаченных (взысканных) платежей в бюджет СФР, а также процентов за несвоевременное осуществление такого возврата и процентов, начисленных на излишне взысканные суммы;</w:t>
      </w:r>
    </w:p>
    <w:p>
      <w:pPr>
        <w:pStyle w:val="Normal"/>
        <w:widowControl w:val="false"/>
        <w:ind w:firstLine="540"/>
        <w:jc w:val="both"/>
        <w:rPr>
          <w:sz w:val="28"/>
          <w:szCs w:val="28"/>
        </w:rPr>
      </w:pPr>
      <w:r>
        <w:rPr>
          <w:sz w:val="28"/>
          <w:szCs w:val="28"/>
        </w:rPr>
        <w:t>принятие решений о зачете (об уточнении) платежей в бюджет СФР;</w:t>
      </w:r>
    </w:p>
    <w:p>
      <w:pPr>
        <w:pStyle w:val="Normal"/>
        <w:widowControl w:val="false"/>
        <w:ind w:firstLine="540"/>
        <w:jc w:val="both"/>
        <w:rPr>
          <w:sz w:val="28"/>
          <w:szCs w:val="28"/>
        </w:rPr>
      </w:pPr>
      <w:r>
        <w:rPr>
          <w:sz w:val="28"/>
          <w:szCs w:val="28"/>
        </w:rPr>
        <w:t>осуществление назначения и выплаты пенсий, пособий и иных социальных выплат;</w:t>
      </w:r>
    </w:p>
    <w:p>
      <w:pPr>
        <w:pStyle w:val="Normal"/>
        <w:widowControl w:val="false"/>
        <w:ind w:firstLine="540"/>
        <w:jc w:val="both"/>
        <w:rPr>
          <w:sz w:val="28"/>
          <w:szCs w:val="28"/>
        </w:rPr>
      </w:pPr>
      <w:r>
        <w:rPr>
          <w:sz w:val="28"/>
          <w:szCs w:val="28"/>
        </w:rPr>
        <w:t>формирование и выплата пенсионных накоплений;</w:t>
      </w:r>
    </w:p>
    <w:p>
      <w:pPr>
        <w:pStyle w:val="Normal"/>
        <w:widowControl w:val="false"/>
        <w:ind w:firstLine="540"/>
        <w:jc w:val="both"/>
        <w:rPr>
          <w:sz w:val="28"/>
          <w:szCs w:val="28"/>
        </w:rPr>
      </w:pPr>
      <w:r>
        <w:rPr>
          <w:sz w:val="28"/>
          <w:szCs w:val="28"/>
        </w:rPr>
        <w:t>ведение индивидуального персонифицированного учета пенсионных прав граждан в системе обязательного пенсионного страхования;</w:t>
      </w:r>
    </w:p>
    <w:p>
      <w:pPr>
        <w:pStyle w:val="Normal"/>
        <w:widowControl w:val="false"/>
        <w:ind w:firstLine="540"/>
        <w:jc w:val="both"/>
        <w:rPr>
          <w:sz w:val="28"/>
          <w:szCs w:val="28"/>
        </w:rPr>
      </w:pPr>
      <w:r>
        <w:rPr>
          <w:sz w:val="28"/>
          <w:szCs w:val="28"/>
        </w:rPr>
        <w:t>ведение бюджетного учета, в том числе принятие к учету первичных учетных документов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инвентаризации;</w:t>
      </w:r>
    </w:p>
    <w:p>
      <w:pPr>
        <w:pStyle w:val="Normal"/>
        <w:widowControl w:val="false"/>
        <w:ind w:firstLine="540"/>
        <w:jc w:val="both"/>
        <w:rPr>
          <w:sz w:val="28"/>
          <w:szCs w:val="28"/>
        </w:rPr>
      </w:pPr>
      <w:r>
        <w:rPr>
          <w:sz w:val="28"/>
          <w:szCs w:val="28"/>
        </w:rPr>
        <w:t>составление и представление бюджетной отчетности и сводной бюджетной отчетности;</w:t>
      </w:r>
    </w:p>
    <w:p>
      <w:pPr>
        <w:pStyle w:val="Normal"/>
        <w:widowControl w:val="false"/>
        <w:ind w:firstLine="540"/>
        <w:jc w:val="both"/>
        <w:rPr>
          <w:sz w:val="28"/>
          <w:szCs w:val="28"/>
        </w:rPr>
      </w:pPr>
      <w:r>
        <w:rPr>
          <w:sz w:val="28"/>
          <w:szCs w:val="28"/>
        </w:rPr>
        <w:t>исполнение судебных актов по искам к СФР, а также судебных актов, предусматривающих обращение взыскания на средства бюджета СФР.</w:t>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t>7. Субъекты внутреннего финансового контроля осуществляют следующие контрольные действия:</w:t>
      </w:r>
    </w:p>
    <w:p>
      <w:pPr>
        <w:pStyle w:val="Normal"/>
        <w:widowControl w:val="false"/>
        <w:ind w:firstLine="539"/>
        <w:jc w:val="both"/>
        <w:rPr>
          <w:sz w:val="28"/>
          <w:szCs w:val="28"/>
        </w:rPr>
      </w:pPr>
      <w:r>
        <w:rPr>
          <w:sz w:val="28"/>
          <w:szCs w:val="28"/>
        </w:rPr>
        <w:t>проверка оформления документов на соответствие требованиям нормативных правовых актов Российской Федерации, и нормативных правовых актов СФР, регулирующих правоотношения в установленной сфере деятельности;</w:t>
      </w:r>
    </w:p>
    <w:p>
      <w:pPr>
        <w:pStyle w:val="Normal"/>
        <w:widowControl w:val="false"/>
        <w:ind w:firstLine="539"/>
        <w:jc w:val="both"/>
        <w:rPr>
          <w:sz w:val="28"/>
          <w:szCs w:val="28"/>
        </w:rPr>
      </w:pPr>
      <w:r>
        <w:rPr>
          <w:sz w:val="28"/>
          <w:szCs w:val="28"/>
        </w:rPr>
        <w:t>авторизация операций, подтверждающая правомочность их совершения (например, визирование документа вышестоящим должностным лицом);</w:t>
      </w:r>
    </w:p>
    <w:p>
      <w:pPr>
        <w:pStyle w:val="Normal"/>
        <w:widowControl w:val="false"/>
        <w:ind w:firstLine="540"/>
        <w:jc w:val="both"/>
        <w:rPr>
          <w:sz w:val="28"/>
          <w:szCs w:val="28"/>
        </w:rPr>
      </w:pPr>
      <w:r>
        <w:rPr>
          <w:sz w:val="28"/>
          <w:szCs w:val="28"/>
        </w:rPr>
        <w:t>сверка данных, т.е. сравнение данных из разных источников информации;</w:t>
      </w:r>
    </w:p>
    <w:p>
      <w:pPr>
        <w:pStyle w:val="Normal"/>
        <w:widowControl w:val="false"/>
        <w:ind w:firstLine="540"/>
        <w:jc w:val="both"/>
        <w:rPr>
          <w:sz w:val="28"/>
          <w:szCs w:val="28"/>
        </w:rPr>
      </w:pPr>
      <w:r>
        <w:rPr>
          <w:sz w:val="28"/>
          <w:szCs w:val="28"/>
        </w:rPr>
        <w:t>сбор и анализ информации о результатах выполнения внутренних процедур;</w:t>
      </w:r>
    </w:p>
    <w:p>
      <w:pPr>
        <w:pStyle w:val="Normal"/>
        <w:widowControl w:val="false"/>
        <w:ind w:firstLine="540"/>
        <w:jc w:val="both"/>
        <w:rPr>
          <w:sz w:val="28"/>
          <w:szCs w:val="28"/>
        </w:rPr>
      </w:pPr>
      <w:r>
        <w:rPr>
          <w:sz w:val="28"/>
          <w:szCs w:val="28"/>
        </w:rPr>
        <w:t>контрольные действия по изучению фактического наличия и состояния объектов имущества (денежных средств, материальных ценностей), в том числе осмотр, замеры, экспертизы, инвентаризации, пересчет;</w:t>
      </w:r>
    </w:p>
    <w:p>
      <w:pPr>
        <w:pStyle w:val="Normal"/>
        <w:widowControl w:val="false"/>
        <w:ind w:firstLine="540"/>
        <w:jc w:val="both"/>
        <w:rPr>
          <w:sz w:val="28"/>
          <w:szCs w:val="28"/>
        </w:rPr>
      </w:pPr>
      <w:r>
        <w:rPr>
          <w:sz w:val="28"/>
          <w:szCs w:val="28"/>
        </w:rPr>
        <w:t>иные контрольные действия, установленные нормативными правовыми актами.</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8. Внутренний контроль основывается на следующих принципах:</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принцип законности - неуклонное и точное соблюдение всеми субъектами внутреннего контроля норм и правил, установленных законодательством РФ, нормативными правовыми актами ПФР и локальными актами Отделения;</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принцип ответственности - каждый субъект внутреннего контроля несет ответственность в соответствии с законодательством РФ за ненадлежащее выполнение контрольных функций;</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принцип системности - проведение контрольных мероприятий всех сторон деятельности объекта внутреннего контроля и его взаимосвязей в структуре учреждения.</w:t>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t>9. Контрольные действия подразделяются на визуальные, автоматические, смешанные, и осуществляются в ходе самоконтроля и (или) контроля по уровню подчиненности (подведомственности).</w:t>
      </w:r>
    </w:p>
    <w:p>
      <w:pPr>
        <w:pStyle w:val="Normal"/>
        <w:widowControl w:val="false"/>
        <w:ind w:firstLine="540"/>
        <w:jc w:val="both"/>
        <w:rPr>
          <w:sz w:val="28"/>
          <w:szCs w:val="28"/>
        </w:rPr>
      </w:pPr>
      <w:r>
        <w:rPr>
          <w:sz w:val="28"/>
          <w:szCs w:val="28"/>
        </w:rPr>
        <w:t>Визуальные контрольные действия осуществляются путем изучения документов и операций в целях подтверждения законности и (или) эффективности исполнения соответствующих процедур.</w:t>
      </w:r>
    </w:p>
    <w:p>
      <w:pPr>
        <w:pStyle w:val="Normal"/>
        <w:widowControl w:val="false"/>
        <w:ind w:firstLine="540"/>
        <w:jc w:val="both"/>
        <w:rPr/>
      </w:pPr>
      <w:r>
        <w:rPr>
          <w:sz w:val="28"/>
          <w:szCs w:val="28"/>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pPr>
        <w:pStyle w:val="Normal"/>
        <w:widowControl w:val="false"/>
        <w:ind w:firstLine="540"/>
        <w:jc w:val="both"/>
        <w:rPr>
          <w:sz w:val="28"/>
          <w:szCs w:val="28"/>
        </w:rPr>
      </w:pPr>
      <w:r>
        <w:rPr>
          <w:sz w:val="28"/>
          <w:szCs w:val="28"/>
        </w:rPr>
        <w:t>Смешанные контрольные действия выполняются с использованием прикладных программных средств автоматизации с участием должностных лиц.</w:t>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t>10. К способам проведения контрольных действий относятся:</w:t>
      </w:r>
    </w:p>
    <w:p>
      <w:pPr>
        <w:pStyle w:val="Normal"/>
        <w:widowControl w:val="false"/>
        <w:ind w:firstLine="540"/>
        <w:jc w:val="both"/>
        <w:rPr>
          <w:sz w:val="28"/>
          <w:szCs w:val="28"/>
        </w:rPr>
      </w:pPr>
      <w:r>
        <w:rPr>
          <w:sz w:val="28"/>
          <w:szCs w:val="28"/>
        </w:rPr>
        <w:t>сплошной способ, при котором контрольные действия осуществляются в отношении каждой проведенной операции;</w:t>
      </w:r>
    </w:p>
    <w:p>
      <w:pPr>
        <w:pStyle w:val="Normal"/>
        <w:widowControl w:val="false"/>
        <w:ind w:firstLine="540"/>
        <w:jc w:val="both"/>
        <w:rPr>
          <w:sz w:val="28"/>
          <w:szCs w:val="28"/>
        </w:rPr>
      </w:pPr>
      <w:r>
        <w:rPr>
          <w:sz w:val="28"/>
          <w:szCs w:val="28"/>
        </w:rPr>
        <w:t>выборочный способ, при котором контрольные действия осуществляются в отношении отдельной проведенной операции (группы операций).</w:t>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t>11. При проведении внутреннего финансового контроля применяются следующие методы:</w:t>
      </w:r>
    </w:p>
    <w:p>
      <w:pPr>
        <w:pStyle w:val="Normal"/>
        <w:widowControl w:val="false"/>
        <w:ind w:firstLine="540"/>
        <w:jc w:val="both"/>
        <w:rPr>
          <w:sz w:val="28"/>
          <w:szCs w:val="28"/>
        </w:rPr>
      </w:pPr>
      <w:r>
        <w:rPr>
          <w:sz w:val="28"/>
          <w:szCs w:val="28"/>
        </w:rPr>
        <w:t>- самоконтроль;</w:t>
      </w:r>
    </w:p>
    <w:p>
      <w:pPr>
        <w:pStyle w:val="Normal"/>
        <w:widowControl w:val="false"/>
        <w:ind w:firstLine="540"/>
        <w:jc w:val="both"/>
        <w:rPr>
          <w:sz w:val="28"/>
          <w:szCs w:val="28"/>
        </w:rPr>
      </w:pPr>
      <w:r>
        <w:rPr>
          <w:sz w:val="28"/>
          <w:szCs w:val="28"/>
        </w:rPr>
        <w:t>- контроль по уровню подчиненности;</w:t>
      </w:r>
    </w:p>
    <w:p>
      <w:pPr>
        <w:pStyle w:val="Normal"/>
        <w:widowControl w:val="false"/>
        <w:ind w:firstLine="540"/>
        <w:jc w:val="both"/>
        <w:rPr>
          <w:sz w:val="28"/>
          <w:szCs w:val="28"/>
        </w:rPr>
      </w:pPr>
      <w:r>
        <w:rPr>
          <w:sz w:val="28"/>
          <w:szCs w:val="28"/>
        </w:rPr>
        <w:t>- контроль по уровню подведомственности;</w:t>
      </w:r>
    </w:p>
    <w:p>
      <w:pPr>
        <w:pStyle w:val="Normal"/>
        <w:widowControl w:val="false"/>
        <w:ind w:firstLine="540"/>
        <w:jc w:val="both"/>
        <w:rPr>
          <w:sz w:val="28"/>
          <w:szCs w:val="28"/>
        </w:rPr>
      </w:pPr>
      <w:r>
        <w:rPr>
          <w:sz w:val="28"/>
          <w:szCs w:val="28"/>
        </w:rPr>
        <w:t xml:space="preserve">Самоконтроль осуществляется работником (должностным лицом) структурного подразделения Отделения, ответственного за выполнение внутренней процедуры, ежедневно сплошным способом путем проведения проверки каждой выполняемой им операции на соответствие требованиям нормативных правовых актов Российской Федерации, нормативных правовых актов СФР, регулирующих правоотношения в установленной сфере деятельности, а также путем оценки причин и обстоятельств (факторов), негативно влияющих на совершение операции. </w:t>
      </w:r>
    </w:p>
    <w:p>
      <w:pPr>
        <w:pStyle w:val="Normal"/>
        <w:widowControl w:val="false"/>
        <w:ind w:firstLine="540"/>
        <w:jc w:val="both"/>
        <w:rPr>
          <w:sz w:val="28"/>
          <w:szCs w:val="28"/>
        </w:rPr>
      </w:pPr>
      <w:r>
        <w:rPr>
          <w:sz w:val="28"/>
          <w:szCs w:val="28"/>
        </w:rPr>
        <w:t xml:space="preserve">Контроль по уровню подчиненности осуществляется руководителем (заместителем руководителя)  структурного подразделения Отделения (иным уполномоченным лицом) сплошным способом путем авторизации операций, осуществляемых подчиненными работниками (должностными лицами). </w:t>
      </w:r>
      <w:bookmarkStart w:id="2" w:name="Par78"/>
      <w:bookmarkEnd w:id="2"/>
    </w:p>
    <w:p>
      <w:pPr>
        <w:pStyle w:val="Normal"/>
        <w:widowControl w:val="false"/>
        <w:ind w:firstLine="540"/>
        <w:jc w:val="both"/>
        <w:rPr>
          <w:sz w:val="28"/>
          <w:szCs w:val="28"/>
        </w:rPr>
      </w:pPr>
      <w:r>
        <w:rPr>
          <w:sz w:val="28"/>
          <w:szCs w:val="28"/>
        </w:rPr>
        <w:t>Подтверждением факта осуществления внутреннего контроля методами контроля «самоконтроль», «по уровню подчиненности» является наличие на документе собственноручной (либо электронной) подписи лица, осуществившего внутренний контроль.</w:t>
      </w:r>
    </w:p>
    <w:p>
      <w:pPr>
        <w:pStyle w:val="Normal"/>
        <w:widowControl w:val="false"/>
        <w:ind w:firstLine="539"/>
        <w:jc w:val="both"/>
        <w:rPr>
          <w:sz w:val="28"/>
          <w:szCs w:val="28"/>
        </w:rPr>
      </w:pPr>
      <w:r>
        <w:rPr>
          <w:sz w:val="28"/>
          <w:szCs w:val="28"/>
        </w:rPr>
        <w:t xml:space="preserve">Контроль по уровню подведомственности осуществляется сплошным или выборочным способом структурным подразделением Отделения в рамках компетенции в отношении процедур и операций, совершенных структурными подразделениями,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СФР, регулирующих правоотношения в установленной сфере деятельности, и соответствия внутренним процедурам, и (или) путем сбора и анализа информации о своевременности составления и представления документов, необходимых для выполнения внутренних процедур, точности и обоснованности информации, отраженной в указанных документах, а также законности совершения отдельных операций. </w:t>
      </w:r>
    </w:p>
    <w:p>
      <w:pPr>
        <w:pStyle w:val="Normal"/>
        <w:widowControl w:val="false"/>
        <w:ind w:firstLine="539"/>
        <w:jc w:val="both"/>
        <w:rPr>
          <w:sz w:val="28"/>
          <w:szCs w:val="28"/>
        </w:rPr>
      </w:pPr>
      <w:r>
        <w:rPr>
          <w:sz w:val="28"/>
          <w:szCs w:val="28"/>
        </w:rPr>
      </w:r>
    </w:p>
    <w:p>
      <w:pPr>
        <w:pStyle w:val="Normal"/>
        <w:widowControl w:val="false"/>
        <w:ind w:firstLine="540"/>
        <w:jc w:val="both"/>
        <w:rPr>
          <w:sz w:val="28"/>
          <w:szCs w:val="28"/>
        </w:rPr>
      </w:pPr>
      <w:r>
        <w:rPr>
          <w:sz w:val="28"/>
          <w:szCs w:val="28"/>
        </w:rPr>
        <w:t>12. Внутренний финансовый контроль осуществляется субъектами внутреннего финансового контроля постоянно в процессе ежедневного выполнения возложенных на них должностных обязанностей.</w:t>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t>13. Ответственность за организацию внутреннего финансового контроля в структурном подразделении Отделения несет начальник отдела (заместитель начальника отдела, руководитель группы).</w:t>
      </w:r>
    </w:p>
    <w:p>
      <w:pPr>
        <w:pStyle w:val="Normal"/>
        <w:widowControl w:val="false"/>
        <w:ind w:firstLine="540"/>
        <w:jc w:val="both"/>
        <w:rPr>
          <w:sz w:val="28"/>
          <w:szCs w:val="28"/>
        </w:rPr>
      </w:pPr>
      <w:r>
        <w:rPr>
          <w:sz w:val="28"/>
          <w:szCs w:val="28"/>
        </w:rPr>
      </w:r>
    </w:p>
    <w:p>
      <w:pPr>
        <w:pStyle w:val="Normal"/>
        <w:widowControl w:val="false"/>
        <w:ind w:firstLine="539"/>
        <w:jc w:val="both"/>
        <w:rPr>
          <w:sz w:val="28"/>
          <w:szCs w:val="28"/>
        </w:rPr>
      </w:pPr>
      <w:r>
        <w:rPr>
          <w:sz w:val="28"/>
          <w:szCs w:val="28"/>
        </w:rPr>
        <w:t>14. Данные о выявленных в ходе внутреннего финансового контроля недостатках и (или) нарушениях при исполнении внутренних процедур, сведения об источниках рисков и о предлагаемых (реализованных) мерах по их устранению оформляются заключением  (устное, служебная записка, письмо) с указанием необходимости внесения исправлений и (или) устранения недостатков (нарушений) в установленный срок либо разрешительной надписью на представленном документе.</w:t>
      </w:r>
    </w:p>
    <w:p>
      <w:pPr>
        <w:pStyle w:val="Normal"/>
        <w:widowControl w:val="false"/>
        <w:ind w:firstLine="540"/>
        <w:jc w:val="both"/>
        <w:rPr>
          <w:sz w:val="28"/>
          <w:szCs w:val="28"/>
        </w:rPr>
      </w:pPr>
      <w:r>
        <w:rPr>
          <w:sz w:val="28"/>
          <w:szCs w:val="28"/>
        </w:rPr>
      </w:r>
    </w:p>
    <w:p>
      <w:pPr>
        <w:pStyle w:val="Normal"/>
        <w:widowControl w:val="false"/>
        <w:ind w:firstLine="540"/>
        <w:jc w:val="both"/>
        <w:rPr>
          <w:rFonts w:eastAsia="Calibri" w:eastAsiaTheme="minorHAnsi"/>
          <w:sz w:val="28"/>
          <w:szCs w:val="28"/>
          <w:lang w:eastAsia="en-US"/>
        </w:rPr>
      </w:pPr>
      <w:r>
        <w:rPr>
          <w:sz w:val="28"/>
          <w:szCs w:val="28"/>
        </w:rPr>
        <w:t xml:space="preserve">15. </w:t>
      </w:r>
      <w:r>
        <w:rPr>
          <w:rFonts w:eastAsia="Calibri" w:eastAsiaTheme="minorHAnsi"/>
          <w:sz w:val="28"/>
          <w:szCs w:val="28"/>
          <w:lang w:eastAsia="en-US"/>
        </w:rPr>
        <w:t>Работники Отделения, допустившие недостатки, искажения и нарушения, по решению управляющего, заместителя управляющего, курирующего структурное подразделение, начальника структурного подразделения, в письменной форме представляют объяснения по вопросам, относящимся к результатам проведения внутреннего контроля.</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16. По результатам проведения внутреннего финансового контроля  начальники структурных подразделений Отделения</w:t>
      </w:r>
      <w:r>
        <w:rPr>
          <w:sz w:val="28"/>
          <w:szCs w:val="28"/>
        </w:rPr>
        <w:t xml:space="preserve"> </w:t>
      </w:r>
      <w:r>
        <w:rPr>
          <w:rFonts w:eastAsia="Calibri" w:eastAsiaTheme="minorHAnsi"/>
          <w:sz w:val="28"/>
          <w:szCs w:val="28"/>
          <w:lang w:eastAsia="en-US"/>
        </w:rPr>
        <w:t>проводят техническую учебу с сотрудниками,  разрабатывает план мероприятий по устранению выявленных недостатков и нарушений, подготавливают и направляют разъяснительные  письма, проводят другие мероприятия, направленные на предотвращение ошибок и нарушений.</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numPr>
          <w:ilvl w:val="0"/>
          <w:numId w:val="0"/>
        </w:numPr>
        <w:ind w:hanging="0" w:left="0"/>
        <w:jc w:val="center"/>
        <w:outlineLvl w:val="0"/>
        <w:rPr>
          <w:b/>
          <w:bCs/>
        </w:rPr>
      </w:pPr>
      <w:bookmarkStart w:id="3" w:name="sub_30"/>
      <w:r>
        <w:rPr>
          <w:b/>
          <w:bCs/>
          <w:sz w:val="28"/>
          <w:szCs w:val="28"/>
        </w:rPr>
        <w:t>I</w:t>
      </w:r>
      <w:r>
        <w:rPr>
          <w:b/>
          <w:bCs/>
          <w:sz w:val="28"/>
          <w:szCs w:val="28"/>
          <w:lang w:val="en-US"/>
        </w:rPr>
        <w:t>II</w:t>
      </w:r>
      <w:r>
        <w:rPr>
          <w:b/>
          <w:bCs/>
          <w:sz w:val="28"/>
          <w:szCs w:val="28"/>
        </w:rPr>
        <w:t>.</w:t>
      </w:r>
      <w:r>
        <w:rPr>
          <w:rFonts w:eastAsia="Calibri" w:eastAsiaTheme="minorHAnsi"/>
          <w:b/>
          <w:bCs/>
          <w:color w:val="26282F"/>
          <w:sz w:val="28"/>
          <w:szCs w:val="28"/>
          <w:lang w:eastAsia="en-US"/>
        </w:rPr>
        <w:t xml:space="preserve"> Ответственность субъектов системы</w:t>
      </w:r>
    </w:p>
    <w:p>
      <w:pPr>
        <w:pStyle w:val="Normal"/>
        <w:numPr>
          <w:ilvl w:val="0"/>
          <w:numId w:val="0"/>
        </w:numPr>
        <w:ind w:hanging="0" w:left="0"/>
        <w:jc w:val="center"/>
        <w:outlineLvl w:val="0"/>
        <w:rPr>
          <w:b/>
          <w:bCs/>
        </w:rPr>
      </w:pPr>
      <w:r>
        <w:rPr>
          <w:rFonts w:eastAsia="Calibri" w:eastAsiaTheme="minorHAnsi"/>
          <w:b/>
          <w:bCs/>
          <w:color w:val="26282F"/>
          <w:sz w:val="28"/>
          <w:szCs w:val="28"/>
          <w:lang w:eastAsia="en-US"/>
        </w:rPr>
        <w:t xml:space="preserve"> </w:t>
      </w:r>
      <w:r>
        <w:rPr>
          <w:rFonts w:eastAsia="Calibri" w:eastAsiaTheme="minorHAnsi"/>
          <w:b/>
          <w:bCs/>
          <w:color w:val="26282F"/>
          <w:sz w:val="28"/>
          <w:szCs w:val="28"/>
          <w:lang w:eastAsia="en-US"/>
        </w:rPr>
        <w:t>внутреннего контроля</w:t>
      </w:r>
      <w:bookmarkEnd w:id="3"/>
    </w:p>
    <w:p>
      <w:pPr>
        <w:pStyle w:val="Normal"/>
        <w:ind w:firstLine="720"/>
        <w:jc w:val="both"/>
        <w:rPr>
          <w:rFonts w:eastAsia="Calibri" w:eastAsiaTheme="minorHAnsi"/>
          <w:b/>
          <w:bCs/>
          <w:sz w:val="28"/>
          <w:szCs w:val="28"/>
          <w:lang w:eastAsia="en-US"/>
        </w:rPr>
      </w:pPr>
      <w:r>
        <w:rPr>
          <w:rFonts w:eastAsia="Calibri" w:eastAsiaTheme="minorHAnsi"/>
          <w:b/>
          <w:bCs/>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17. Субъекты внутреннего финансового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xml:space="preserve">18. Лица, допустившие недостатки, искажения и нарушения, несут дисциплинарную ответственность в соответствии с требованиями </w:t>
      </w:r>
      <w:hyperlink r:id="rId2">
        <w:r>
          <w:rPr>
            <w:rFonts w:eastAsia="Calibri" w:eastAsiaTheme="minorHAnsi"/>
            <w:color w:val="106BBE"/>
            <w:sz w:val="28"/>
            <w:szCs w:val="28"/>
            <w:lang w:eastAsia="en-US"/>
          </w:rPr>
          <w:t>ТК</w:t>
        </w:r>
      </w:hyperlink>
      <w:r>
        <w:rPr>
          <w:rFonts w:eastAsia="Calibri" w:eastAsiaTheme="minorHAnsi"/>
          <w:sz w:val="28"/>
          <w:szCs w:val="28"/>
          <w:lang w:eastAsia="en-US"/>
        </w:rPr>
        <w:t xml:space="preserve"> РФ.</w:t>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numPr>
          <w:ilvl w:val="0"/>
          <w:numId w:val="0"/>
        </w:numPr>
        <w:ind w:firstLine="720" w:left="720"/>
        <w:jc w:val="center"/>
        <w:outlineLvl w:val="0"/>
        <w:rPr>
          <w:rFonts w:eastAsia="Calibri" w:eastAsiaTheme="minorHAnsi"/>
          <w:bCs/>
          <w:color w:val="26282F"/>
          <w:sz w:val="28"/>
          <w:szCs w:val="28"/>
          <w:lang w:eastAsia="en-US"/>
        </w:rPr>
      </w:pPr>
      <w:r>
        <w:rPr>
          <w:rFonts w:eastAsia="Calibri" w:eastAsiaTheme="minorHAnsi"/>
          <w:bCs/>
          <w:color w:val="26282F"/>
          <w:sz w:val="28"/>
          <w:szCs w:val="28"/>
          <w:lang w:eastAsia="en-US"/>
        </w:rPr>
      </w:r>
    </w:p>
    <w:p>
      <w:pPr>
        <w:pStyle w:val="Normal"/>
        <w:numPr>
          <w:ilvl w:val="0"/>
          <w:numId w:val="0"/>
        </w:numPr>
        <w:ind w:firstLine="567" w:left="0"/>
        <w:jc w:val="center"/>
        <w:outlineLvl w:val="0"/>
        <w:rPr>
          <w:b/>
          <w:bCs/>
        </w:rPr>
      </w:pPr>
      <w:r>
        <w:rPr>
          <w:rFonts w:eastAsia="Calibri" w:eastAsiaTheme="minorHAnsi"/>
          <w:b/>
          <w:bCs/>
          <w:color w:val="26282F"/>
          <w:sz w:val="28"/>
          <w:szCs w:val="28"/>
          <w:lang w:val="en-US" w:eastAsia="en-US"/>
        </w:rPr>
        <w:t>IV</w:t>
      </w:r>
      <w:r>
        <w:rPr>
          <w:rFonts w:eastAsia="Calibri" w:eastAsiaTheme="minorHAnsi"/>
          <w:b/>
          <w:bCs/>
          <w:color w:val="26282F"/>
          <w:sz w:val="28"/>
          <w:szCs w:val="28"/>
          <w:lang w:eastAsia="en-US"/>
        </w:rPr>
        <w:t xml:space="preserve">. Оценка состояния системы </w:t>
      </w:r>
    </w:p>
    <w:p>
      <w:pPr>
        <w:pStyle w:val="Normal"/>
        <w:numPr>
          <w:ilvl w:val="0"/>
          <w:numId w:val="0"/>
        </w:numPr>
        <w:ind w:firstLine="567" w:left="0"/>
        <w:jc w:val="center"/>
        <w:outlineLvl w:val="0"/>
        <w:rPr>
          <w:b/>
          <w:bCs/>
        </w:rPr>
      </w:pPr>
      <w:r>
        <w:rPr>
          <w:rFonts w:eastAsia="Calibri" w:eastAsiaTheme="minorHAnsi"/>
          <w:b/>
          <w:bCs/>
          <w:color w:val="26282F"/>
          <w:sz w:val="28"/>
          <w:szCs w:val="28"/>
          <w:lang w:eastAsia="en-US"/>
        </w:rPr>
        <w:t xml:space="preserve"> </w:t>
      </w:r>
      <w:r>
        <w:rPr>
          <w:rFonts w:eastAsia="Calibri" w:eastAsiaTheme="minorHAnsi"/>
          <w:b/>
          <w:bCs/>
          <w:color w:val="26282F"/>
          <w:sz w:val="28"/>
          <w:szCs w:val="28"/>
          <w:lang w:eastAsia="en-US"/>
        </w:rPr>
        <w:t>внутреннего финансового контроля</w:t>
      </w:r>
    </w:p>
    <w:p>
      <w:pPr>
        <w:pStyle w:val="Normal"/>
        <w:numPr>
          <w:ilvl w:val="0"/>
          <w:numId w:val="0"/>
        </w:numPr>
        <w:ind w:hanging="0" w:left="0"/>
        <w:jc w:val="center"/>
        <w:outlineLvl w:val="0"/>
        <w:rPr>
          <w:rFonts w:eastAsia="Calibri" w:eastAsiaTheme="minorHAnsi"/>
          <w:bCs/>
          <w:color w:val="26282F"/>
          <w:sz w:val="28"/>
          <w:szCs w:val="28"/>
          <w:lang w:eastAsia="en-US"/>
        </w:rPr>
      </w:pPr>
      <w:r>
        <w:rPr>
          <w:rFonts w:eastAsia="Calibri" w:eastAsiaTheme="minorHAnsi"/>
          <w:bCs/>
          <w:color w:val="26282F"/>
          <w:sz w:val="28"/>
          <w:szCs w:val="28"/>
          <w:lang w:eastAsia="en-US"/>
        </w:rPr>
      </w:r>
      <w:bookmarkStart w:id="4" w:name="sub_26"/>
      <w:bookmarkStart w:id="5" w:name="sub_26"/>
      <w:bookmarkEnd w:id="5"/>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19. Оценка эффективности системы внутреннего финансового контроля в учреждении осуществляется субъектами внутреннего финансового контроля и рассматривается на совещаниях, проводимых руководителем учреждения.</w:t>
      </w:r>
      <w:bookmarkStart w:id="6" w:name="Par98"/>
      <w:bookmarkEnd w:id="6"/>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r>
    </w:p>
    <w:p>
      <w:pPr>
        <w:pStyle w:val="Normal"/>
        <w:ind w:firstLine="720"/>
        <w:jc w:val="both"/>
        <w:rPr>
          <w:rFonts w:eastAsia="Calibri" w:eastAsiaTheme="minorHAnsi"/>
          <w:sz w:val="28"/>
          <w:szCs w:val="28"/>
          <w:lang w:eastAsia="en-US"/>
        </w:rPr>
      </w:pPr>
      <w:r>
        <w:rPr>
          <w:rFonts w:eastAsia="Calibri" w:eastAsiaTheme="minorHAnsi"/>
          <w:sz w:val="28"/>
          <w:szCs w:val="28"/>
          <w:lang w:eastAsia="en-US"/>
        </w:rPr>
        <w:t xml:space="preserve">Главный бухгалтер – </w:t>
      </w:r>
    </w:p>
    <w:p>
      <w:pPr>
        <w:pStyle w:val="Normal"/>
        <w:ind w:firstLine="720"/>
        <w:jc w:val="both"/>
        <w:rPr>
          <w:sz w:val="28"/>
          <w:szCs w:val="28"/>
        </w:rPr>
      </w:pPr>
      <w:r>
        <w:rPr>
          <w:rFonts w:eastAsia="Calibri" w:eastAsiaTheme="minorHAnsi"/>
          <w:sz w:val="28"/>
          <w:szCs w:val="28"/>
          <w:lang w:eastAsia="en-US"/>
        </w:rPr>
        <w:t>начальник управления казначейства</w:t>
        <w:tab/>
        <w:tab/>
        <w:t xml:space="preserve">                 </w:t>
        <w:tab/>
        <w:t>И.Н. Авдеева</w:t>
      </w:r>
    </w:p>
    <w:sectPr>
      <w:headerReference w:type="even" r:id="rId3"/>
      <w:headerReference w:type="default" r:id="rId4"/>
      <w:footerReference w:type="first" r:id="rId5"/>
      <w:type w:val="nextPage"/>
      <w:pgSz w:w="11906" w:h="16838"/>
      <w:pgMar w:left="1418" w:right="709" w:gutter="0" w:header="851" w:top="908" w:footer="315" w:bottom="709"/>
      <w:pgNumType w:fmt="decimal"/>
      <w:formProt w:val="false"/>
      <w:titlePg/>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left" w:pos="2835" w:leader="none"/>
        <w:tab w:val="left" w:pos="4153" w:leader="none"/>
        <w:tab w:val="right" w:pos="8306" w:leader="none"/>
      </w:tabs>
      <w:ind w:right="85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1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bookmarkStart w:id="7" w:name="Ispoln1"/>
                          <w:bookmarkEnd w:id="7"/>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Header"/>
                      <w:rPr>
                        <w:rStyle w:val="Pagenumber"/>
                      </w:rPr>
                    </w:pPr>
                    <w:bookmarkStart w:id="8" w:name="Ispoln1"/>
                    <w:bookmarkEnd w:id="8"/>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10">
              <wp:simplePos x="0" y="0"/>
              <wp:positionH relativeFrom="margin">
                <wp:align>center</wp:align>
              </wp:positionH>
              <wp:positionV relativeFrom="paragraph">
                <wp:posOffset>635</wp:posOffset>
              </wp:positionV>
              <wp:extent cx="64135" cy="145415"/>
              <wp:effectExtent l="0" t="0" r="0" b="0"/>
              <wp:wrapSquare wrapText="bothSides"/>
              <wp:docPr id="2" name="Врезка2"/>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6</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41.9pt;margin-top:0.05pt;width:5pt;height:11.4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6</w:t>
                    </w:r>
                    <w:r>
                      <w:rPr>
                        <w:rStyle w:val="Pagenumber"/>
                        <w:color w:val="00000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287" w:hanging="72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Normal"/>
    <w:qFormat/>
    <w:pPr>
      <w:keepNext w:val="true"/>
      <w:spacing w:before="80" w:after="0"/>
      <w:jc w:val="center"/>
      <w:outlineLvl w:val="0"/>
    </w:pPr>
    <w:rPr>
      <w:b/>
      <w:spacing w:val="20"/>
      <w:sz w:val="24"/>
    </w:rPr>
  </w:style>
  <w:style w:type="paragraph" w:styleId="Heading2">
    <w:name w:val="Heading 2"/>
    <w:basedOn w:val="Normal"/>
    <w:next w:val="Normal"/>
    <w:qFormat/>
    <w:pPr>
      <w:keepNext w:val="true"/>
      <w:tabs>
        <w:tab w:val="clear" w:pos="720"/>
        <w:tab w:val="left" w:pos="6237" w:leader="none"/>
      </w:tabs>
      <w:spacing w:before="120" w:after="120"/>
      <w:jc w:val="center"/>
      <w:outlineLvl w:val="1"/>
    </w:pPr>
    <w:rPr>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Style12" w:customStyle="1">
    <w:name w:val="Текст выноски Знак"/>
    <w:basedOn w:val="DefaultParagraphFont"/>
    <w:link w:val="BalloonText"/>
    <w:uiPriority w:val="99"/>
    <w:semiHidden/>
    <w:qFormat/>
    <w:rPr>
      <w:rFonts w:ascii="Tahoma" w:hAnsi="Tahoma" w:cs="Tahoma"/>
      <w:sz w:val="16"/>
      <w:szCs w:val="16"/>
    </w:rPr>
  </w:style>
  <w:style w:type="character" w:styleId="Style13" w:customStyle="1">
    <w:name w:val="Нижний колонтитул Знак"/>
    <w:basedOn w:val="DefaultParagraphFont"/>
    <w:qFormat/>
    <w:rPr/>
  </w:style>
  <w:style w:type="character" w:styleId="Hyperlink" w:customStyle="1">
    <w:name w:val="Hyperlink"/>
    <w:rPr>
      <w:color w:val="000080"/>
      <w:u w:val="single"/>
    </w:rPr>
  </w:style>
  <w:style w:type="paragraph" w:styleId="Style14" w:customStyle="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16" w:customStyle="1">
    <w:name w:val="Колонтитул"/>
    <w:basedOn w:val="Normal"/>
    <w:qFormat/>
    <w:pPr/>
    <w:rPr/>
  </w:style>
  <w:style w:type="paragraph" w:styleId="Footer">
    <w:name w:val="Footer"/>
    <w:basedOn w:val="Normal"/>
    <w:link w:val="Style13"/>
    <w:pPr>
      <w:tabs>
        <w:tab w:val="clear" w:pos="720"/>
        <w:tab w:val="center" w:pos="4153" w:leader="none"/>
        <w:tab w:val="right" w:pos="8306" w:leader="none"/>
      </w:tabs>
    </w:pPr>
    <w:rPr/>
  </w:style>
  <w:style w:type="paragraph" w:styleId="Header">
    <w:name w:val="Header"/>
    <w:basedOn w:val="Normal"/>
    <w:semiHidden/>
    <w:pPr>
      <w:tabs>
        <w:tab w:val="clear" w:pos="720"/>
        <w:tab w:val="center" w:pos="4153" w:leader="none"/>
        <w:tab w:val="right" w:pos="8306" w:leader="none"/>
      </w:tabs>
    </w:pPr>
    <w:rPr/>
  </w:style>
  <w:style w:type="paragraph" w:styleId="NormalIndent">
    <w:name w:val="Normal Indent"/>
    <w:basedOn w:val="Normal"/>
    <w:semiHidden/>
    <w:qFormat/>
    <w:pPr>
      <w:spacing w:lineRule="auto" w:line="360"/>
      <w:ind w:firstLine="624"/>
      <w:jc w:val="both"/>
    </w:pPr>
    <w:rPr>
      <w:sz w:val="26"/>
    </w:rPr>
  </w:style>
  <w:style w:type="paragraph" w:styleId="ListParagraph">
    <w:name w:val="List Paragraph"/>
    <w:basedOn w:val="Normal"/>
    <w:uiPriority w:val="34"/>
    <w:qFormat/>
    <w:pPr>
      <w:spacing w:before="0" w:after="0"/>
      <w:ind w:left="720"/>
      <w:contextualSpacing/>
    </w:pPr>
    <w:rPr/>
  </w:style>
  <w:style w:type="paragraph" w:styleId="BalloonText">
    <w:name w:val="Balloon Text"/>
    <w:basedOn w:val="Normal"/>
    <w:link w:val="Style12"/>
    <w:uiPriority w:val="99"/>
    <w:semiHidden/>
    <w:unhideWhenUsed/>
    <w:qFormat/>
    <w:pPr/>
    <w:rPr>
      <w:rFonts w:ascii="Tahoma" w:hAnsi="Tahoma" w:cs="Tahoma"/>
      <w:sz w:val="16"/>
      <w:szCs w:val="16"/>
    </w:rPr>
  </w:style>
  <w:style w:type="paragraph" w:styleId="Style17"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25268.192"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CAD6-D1BA-4236-BBB7-4D4B9389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Application>LibreOffice/7.6.4.1$Windows_X86_64 LibreOffice_project/e19e193f88cd6c0525a17fb7a176ed8e6a3e2aa1</Application>
  <AppVersion>15.0000</AppVersion>
  <Pages>6</Pages>
  <Words>1326</Words>
  <Characters>10363</Characters>
  <CharactersWithSpaces>11721</CharactersWithSpaces>
  <Paragraphs>89</Paragraphs>
  <Company>ИЦПУ</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2021-06-10T14:39:00Z</dcterms:created>
  <dc:creator>Заторяева Анна Александровна</dc:creator>
  <dc:description/>
  <dc:language>ru-RU</dc:language>
  <cp:lastModifiedBy/>
  <cp:lastPrinted>2021-06-22T08:28:00Z</cp:lastPrinted>
  <dcterms:modified xsi:type="dcterms:W3CDTF">2024-04-26T16:28:58Z</dcterms:modified>
  <cp:revision>20</cp:revision>
  <dc:subject>Шаблон Постановления ПФР</dc:subject>
  <dc:title/>
</cp:coreProperties>
</file>

<file path=docProps/custom.xml><?xml version="1.0" encoding="utf-8"?>
<Properties xmlns="http://schemas.openxmlformats.org/officeDocument/2006/custom-properties" xmlns:vt="http://schemas.openxmlformats.org/officeDocument/2006/docPropsVTypes"/>
</file>