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5D" w:rsidRPr="00A92FCC" w:rsidRDefault="00FA1B5D" w:rsidP="00FA1B5D">
      <w:pPr>
        <w:pStyle w:val="Standard"/>
        <w:jc w:val="center"/>
        <w:rPr>
          <w:b/>
        </w:rPr>
      </w:pPr>
      <w:r w:rsidRPr="00A92FCC">
        <w:rPr>
          <w:b/>
        </w:rPr>
        <w:t>Информация</w:t>
      </w:r>
      <w:r>
        <w:rPr>
          <w:b/>
        </w:rPr>
        <w:t xml:space="preserve"> об изменениях в законодательстве!</w:t>
      </w:r>
    </w:p>
    <w:p w:rsidR="00B64F90" w:rsidRPr="00FA1B5D" w:rsidRDefault="00EB57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предупредительных мер по сокращению производственного травматизма и профессиональных заболеваний</w:t>
      </w:r>
    </w:p>
    <w:p w:rsidR="00B64F90" w:rsidRDefault="00EB5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Уважаемые страхователи, доводим до Вашего сведения, что с 01.01.2025 года действует Новый порядок фина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нсового обеспечения предупредительных мер по сокращению производственного травматизма и профессиональных заболеваний работников, утвержденный Приказом Минтруда России о 11.07.2024 №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347н «Об утверждении Правил финансового обеспечения предупредительных мер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(зарегистрировано в Минюсте России 19.11.2024 рег. №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0230).</w:t>
      </w:r>
    </w:p>
    <w:p w:rsidR="00B64F90" w:rsidRDefault="00EB57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Изменения в основном сводятся к упрощению процессов взаимодействия страхователей и Социального фонда.</w:t>
      </w:r>
    </w:p>
    <w:p w:rsidR="00B64F90" w:rsidRDefault="00EB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F90" w:rsidRDefault="00EB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125-ФЗ «Об обязательном социальном страховании от несчастных случаев на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водстве и профессиональных заболеваний» Федеральный закон от 30.11.2024 № 423-ФЗ «О бюджете Фонда пенсионного и социального страхования Российской Федерации на 2025 год и на плановый период 2026 и 2027 годов».</w:t>
      </w:r>
    </w:p>
    <w:p w:rsidR="00B64F90" w:rsidRDefault="00B6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Министерстве труда и социальной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ащиты Российской Федерации, утвержденного постановлением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A81DB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B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610.</w:t>
      </w:r>
    </w:p>
    <w:p w:rsidR="00B64F90" w:rsidRDefault="00EB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 суммы финансового обеспечения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4F90" w:rsidRDefault="00EB57EE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Страхователь направляет на финансовое обеспечение предупредительных мер до 20% сумм страховых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B64F90" w:rsidRDefault="00EB57EE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Объем средств может быть увеличен до 30%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 страховых взносов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пенсионным законодательством.</w:t>
      </w:r>
    </w:p>
    <w:p w:rsidR="00B64F90" w:rsidRDefault="00EB57EE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 если страхователь с численностью работающих до 100 человек не осуществлял два последовательных календарных года, предшествующих текущему финансовому году, финансовое обеспечение предупредительных мер,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средств, направляемых таким страхователем на финансовое обеспечение указанных мер, рассчитывается исходя из отчетных данных за три последовательных календарных года, предшествующих текущему финансовому году, и не может превышать сумму страховых взносов,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начисленных им за текущий финансовый год, за вычетом расходов, произведенных в текущем календарном году по обязательному социальному страхованию от несчастных случаев на производстве и профессиональных заболеваний.</w:t>
      </w:r>
    </w:p>
    <w:p w:rsidR="00B64F90" w:rsidRDefault="00EB57EE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      Финансовое обеспечение предупр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суммы, согласованной с территориальным органом Фонда на эти цели, но не более суммы страхов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взносов на обязательное социальное страхование от несчастных случаев на производстве и профессиональных заболеваний, начисленных страхователем за текущий финансовый год, за вычетом расходов, произведенных в текущем календарном году на выплату пособий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период его лечения и проезда к месту лечения и обратно.</w:t>
      </w:r>
    </w:p>
    <w:p w:rsidR="00FA1B5D" w:rsidRDefault="00FA1B5D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мероприятий, подлежащих финансовому обеспечению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1B5D" w:rsidRDefault="00FA1B5D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специальной оценки условий труда; </w:t>
      </w:r>
    </w:p>
    <w:p w:rsidR="00B64F90" w:rsidRDefault="00B64F90" w:rsidP="00FA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приведению уровней воздействия вредных и (или) опасных производствен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факторов на рабочих местах в соответствие с государственными нормативными требованиями охраны труда;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и (или) обучение безопасным методам и приемам выполнения работ повышенной опасности, в том числе горных работ, а также 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в случае аварии или инцидента на опасном производственном объекте с отрывом отдельных категорий работников;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работникам средств индивидуальной защиты, изготовленных на территории государств - членов Евразийского экономического союза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СИЗ), и смывающих средств на основании норм бесплатной выдачи СИЗ и смывающих средств, утвержденных локальным нормативным актом и разработанных на основании Единых типовых норм выдачи средств индивидуальной защиты и смывающих средств с учетом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его наличии);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обязательных периодических медицинских осмотров (обследований) работников;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лечебно-профилактическим питанием работников, для которых указанное питание предусмотрено перечнем отдельных видов работ, при выполнении которых работникам предоставляется бесплатно лечебно-профилактическое питание по установленным нормам,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приказом Министерства труда и социальной защиты Российской Федерации от 16 мая 2022 г. N 298н;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ицинских изделий для количественного определения алкоголя в выдыхаемом воздухе, а также для определения наличия психоактивных веществ в моче, прошедших процедуру государственной регистрации медицинских изделий и внесенных в государственный реестр 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страхователями, осуществляющими пассажирские и грузовые перевозки, приборов контроля за режимом труда и отдыха водителе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(тахографов);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страхователями аптечек для оказания работниками первой помощи пострадавшим с применением медицинских изделий;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отдельных приборов, устройств, оборудования и (или) комплексов (систем) приборов, устройств, оборудова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отдельных приборов, устройств, оборудования,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 в случае аварии или инцидента на опасном производственном объекте и (или) дистанционную видео- и аудиофиксацию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(исключая размещение в номерах высшей категории);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опасными производственными факторами;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я), обеспечивающих безопасное ведение горных работ, в рамках модернизации основных производств;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бесплатной выдачи молока или других равноценных пищевых продуктов работникам, занятым на рабочих местах с вредными условиями труда, установленными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специальной оценки условий труда,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труда, установленными по результатам специальной оценки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труда,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утвержденным приказом Министерства труда и социальной защиты Российской Федерации от 12 мая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022 г. </w:t>
      </w:r>
      <w:r w:rsidR="00FA1B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291н;</w:t>
      </w:r>
    </w:p>
    <w:p w:rsidR="00B64F90" w:rsidRDefault="00EB57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профессиональных рисков.</w:t>
      </w:r>
    </w:p>
    <w:p w:rsidR="00B64F90" w:rsidRDefault="00EB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 и документов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или обособленное подразделение страхователя в срок до 1 августа текущего календарного года обращается с заявлением о финансовом обеспечении предупредительн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 и планом финансового обеспечения предупредительных мер в отделение СФР по месту своей регистрации.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финансовом обеспечении предупредительных мер и план финансового обеспечения предупредительных мер представляются страхователем в 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СФР без приложения документов, обосновывающих необходимость проведения мероприятий (за исключением мероприятия, предусмотренного пп. «п» п.2 Правил, где 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предварительное согласование перечня приобретаемого оборудования в рамках модернизации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производств).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самостоятельно определяет перечень осуществляемых предупредительных мер в рамках утвержденного Правилами перечня.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Решение о финансовом обеспечении предупредительных мер или об отказе в финансовом обеспечении предупредительных мер принимается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 СФР: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получения заявления и плана финансового обеспечения;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страхователей, включивших в план финансового обеспечения предупредительные меры, предусмотренные подпунктом "п" пункта 2 настоящих Правил, 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дня получения заявления и полного комплекта документов, указанных в пункте 4 настоящих Правил, и согласования проекта решения с СФР в части указанного мероприятия.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согласование решения с СФР предусмотрено только в отношении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страхователей. 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вправе дополнительно, в случае, если им первоначально было подано заявление на сумму меньше расчетного объема средств, обратиться с заявлением и планом финансового обеспечения до 01 сентября текущего календарного года.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направление заявления и плана финансового обеспечения предупредительных мер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СФР не требуется.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случае включения в план финансового обеспечения, при внесении в него изменений, предупредительных мер, предусмотренных подпунктом "п" пункта 2 настоящих Правил, страхователь обязан предоставить вместе с заявлением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документов), предусмотренные пунктом 4 настоящих Правил.</w:t>
      </w:r>
    </w:p>
    <w:p w:rsidR="00B64F90" w:rsidRDefault="00EB57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отказа в финансовом обеспечении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принимает решение об отказе в финансовом обеспечении предупредительных мер в следующих случаях: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день подачи заявления у страховател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выездной проверки;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предусмотренные бюджетом СФР средства на финансовое обеспечение предупредительных мер на текущий финансовый год полностью распределены.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финансовом обеспечении предупредительных мер по другим основаниям не допускается.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рахователь вправе повторно, но не позднее 1 августа текущего календарного года обратиться с заявлением в отделение СФР по месту своей регистрации.</w:t>
      </w:r>
    </w:p>
    <w:p w:rsidR="00FA1B5D" w:rsidRDefault="00FA1B5D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Возмещение произведенных расходов на предупредительные меры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1B5D" w:rsidRDefault="00FA1B5D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после выполнения всех предупредитель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 или хотя бы одной предупредительной меры обращается с заявлением о возмещении произведенных расходов на оплату предупредительных мер (далее - заявление о возмещении расходов) в отделение СФР по месту своей регистрации в срок до 15 ноября текущего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алендарного года.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 возмещении расходов с прилагаемыми к нему документами (копиями документов)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возмещени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 прилагаются следующие документы (копии документов):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произведенных расходах на финансовое обеспечение предупредительных мер в текущем календарном году;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(выписка из) локального нормативного акта о реализуемых страхователем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документы, подтверждающие оплату товаров (работ, услуг), и 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их приобретение (выполнение).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обоснования произведенных расходов на оплату предупредительных мер страхователь дополнительно представляет документы (копии документов) в соответствии с п.11 Правил.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прилагаемых к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о возмещении расходов, должны быть заверены печатью страхователя (при наличии печати).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оплата расходов страхователя на предупредительные меры согласно договорам на приобретение (выполнение) товаров (работ, услуг) должна быть произведена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году, но позже срока подачи заявления о возмещении расходов 15 ноября текущего календарного года, решение о возмещении расходов принимается после предоставления страхователем платежных документов и документов, подтверждающих расходы, но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15 декабря текущего календарного года.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Страхователю предоставляется право на устранение замечаний в документах, подтверждающих произведенные расходы, в течение 5 рабочих дней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документов.</w:t>
      </w:r>
    </w:p>
    <w:p w:rsidR="00B64F90" w:rsidRDefault="00EB57EE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ичины отказа возмещении произведенных расходов</w:t>
      </w:r>
      <w:r w:rsidR="00FA1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1B5D" w:rsidRDefault="00FA1B5D" w:rsidP="00FA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Отделение СФР принимает решение об отказе в возмещении расходов предупредительных мер в следующих случаях: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страхователем документы, предусмотренные пунктами 9 - 12 настоящих Правил, содержат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достоверную информацию;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пунктами 9 - 11 настоящих Правил, представлены страхователем не в полном объеме.</w:t>
      </w:r>
    </w:p>
    <w:p w:rsidR="00B64F90" w:rsidRDefault="00EB57EE" w:rsidP="00F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 осуществляет контроль за полнотой и целевым использованием сумм страховых взносов на финансовое обеспечение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предительных мер страхователем.</w:t>
      </w:r>
    </w:p>
    <w:p w:rsidR="00B64F90" w:rsidRDefault="00EB57EE" w:rsidP="00FA1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4F90" w:rsidRDefault="00B64F90" w:rsidP="00FA1B5D">
      <w:pPr>
        <w:spacing w:after="0" w:line="240" w:lineRule="auto"/>
      </w:pPr>
    </w:p>
    <w:sectPr w:rsidR="00B6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EE" w:rsidRDefault="00EB57EE">
      <w:pPr>
        <w:spacing w:after="0" w:line="240" w:lineRule="auto"/>
      </w:pPr>
      <w:r>
        <w:separator/>
      </w:r>
    </w:p>
  </w:endnote>
  <w:endnote w:type="continuationSeparator" w:id="0">
    <w:p w:rsidR="00EB57EE" w:rsidRDefault="00EB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EE" w:rsidRDefault="00EB57EE">
      <w:pPr>
        <w:spacing w:after="0" w:line="240" w:lineRule="auto"/>
      </w:pPr>
      <w:r>
        <w:separator/>
      </w:r>
    </w:p>
  </w:footnote>
  <w:footnote w:type="continuationSeparator" w:id="0">
    <w:p w:rsidR="00EB57EE" w:rsidRDefault="00EB5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0D03"/>
    <w:multiLevelType w:val="hybridMultilevel"/>
    <w:tmpl w:val="C7CEBEE8"/>
    <w:lvl w:ilvl="0" w:tplc="549C5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C20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00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206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A2EE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E3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34A5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E00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2814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412CB"/>
    <w:multiLevelType w:val="hybridMultilevel"/>
    <w:tmpl w:val="2E5AA91C"/>
    <w:lvl w:ilvl="0" w:tplc="360CB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726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405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E8C3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300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43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2E70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9A2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3E4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22716"/>
    <w:multiLevelType w:val="hybridMultilevel"/>
    <w:tmpl w:val="85CEB99E"/>
    <w:lvl w:ilvl="0" w:tplc="5A2A8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0B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041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3E4F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8693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30C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743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46A3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8D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C2BD8"/>
    <w:multiLevelType w:val="hybridMultilevel"/>
    <w:tmpl w:val="6AA23F0A"/>
    <w:lvl w:ilvl="0" w:tplc="BFC2F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B4B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92A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3E1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687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08C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E42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DAB3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45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56C86"/>
    <w:multiLevelType w:val="hybridMultilevel"/>
    <w:tmpl w:val="505C484C"/>
    <w:lvl w:ilvl="0" w:tplc="EC8C5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F86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A4B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3C07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0AFD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28AE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63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6CE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F24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0"/>
    <w:rsid w:val="00A81DBD"/>
    <w:rsid w:val="00B64F90"/>
    <w:rsid w:val="00EB57EE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7D55A-929E-4AAE-BB47-791440C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rsid w:val="00FA1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Светлана Николаевна</dc:creator>
  <cp:keywords/>
  <dc:description/>
  <cp:lastModifiedBy>Брянцева Ирина Анатольевна</cp:lastModifiedBy>
  <cp:revision>3</cp:revision>
  <dcterms:created xsi:type="dcterms:W3CDTF">2025-01-30T14:07:00Z</dcterms:created>
  <dcterms:modified xsi:type="dcterms:W3CDTF">2025-01-30T14:10:00Z</dcterms:modified>
</cp:coreProperties>
</file>