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38" w:rsidRPr="00AB4869" w:rsidRDefault="00F90262" w:rsidP="00D03F38">
      <w:pPr>
        <w:tabs>
          <w:tab w:val="left" w:pos="6300"/>
        </w:tabs>
        <w:ind w:left="11199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333000"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D03F38"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 по исполнению бюджета ОПФР по Республике Саха (Якутия)</w:t>
      </w:r>
    </w:p>
    <w:p w:rsidR="00F90262" w:rsidRPr="00AB4869" w:rsidRDefault="00F90262" w:rsidP="00F90262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477D" w:rsidRPr="00AB4869" w:rsidRDefault="00F90262" w:rsidP="00F902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869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</w:t>
      </w:r>
    </w:p>
    <w:p w:rsidR="00F90262" w:rsidRPr="00AB4869" w:rsidRDefault="00F90262" w:rsidP="00F902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392"/>
        <w:gridCol w:w="1544"/>
        <w:gridCol w:w="8221"/>
        <w:gridCol w:w="2268"/>
      </w:tblGrid>
      <w:tr w:rsidR="00F90262" w:rsidRPr="00AB4869" w:rsidTr="008438C5">
        <w:tc>
          <w:tcPr>
            <w:tcW w:w="2392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44" w:type="dxa"/>
            <w:vAlign w:val="center"/>
          </w:tcPr>
          <w:p w:rsidR="00B023C1" w:rsidRPr="00AB4869" w:rsidRDefault="00F90262" w:rsidP="00B0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Код счета б</w:t>
            </w:r>
            <w:r w:rsidR="00B023C1" w:rsidRPr="00AB4869">
              <w:rPr>
                <w:rFonts w:ascii="Times New Roman" w:hAnsi="Times New Roman" w:cs="Times New Roman"/>
                <w:sz w:val="20"/>
                <w:szCs w:val="20"/>
              </w:rPr>
              <w:t>юджетного</w:t>
            </w:r>
          </w:p>
          <w:p w:rsidR="00F90262" w:rsidRPr="00AB4869" w:rsidRDefault="00F90262" w:rsidP="00B0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8221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023C1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903868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объекта учета 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и момент отражения операции в</w:t>
            </w:r>
            <w:r w:rsidR="00B023C1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268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</w:t>
            </w:r>
          </w:p>
        </w:tc>
      </w:tr>
      <w:tr w:rsidR="00F90262" w:rsidRPr="00AB4869" w:rsidTr="008438C5">
        <w:tc>
          <w:tcPr>
            <w:tcW w:w="2392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23C" w:rsidRPr="00AB4869" w:rsidTr="008438C5">
        <w:trPr>
          <w:trHeight w:val="2698"/>
        </w:trPr>
        <w:tc>
          <w:tcPr>
            <w:tcW w:w="2392" w:type="dxa"/>
          </w:tcPr>
          <w:p w:rsidR="001C423C" w:rsidRPr="00AB4869" w:rsidRDefault="001C423C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544" w:type="dxa"/>
          </w:tcPr>
          <w:p w:rsidR="001C423C" w:rsidRPr="00AB4869" w:rsidRDefault="001C423C" w:rsidP="00486B3B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21" w:type="dxa"/>
          </w:tcPr>
          <w:p w:rsidR="001C423C" w:rsidRPr="00AB4869" w:rsidRDefault="001C423C" w:rsidP="001C423C">
            <w:pPr>
              <w:pStyle w:val="ConsPlusNormal"/>
              <w:spacing w:line="360" w:lineRule="auto"/>
              <w:ind w:left="-108"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0" w:name="_Toc8034530"/>
            <w:r w:rsidRPr="00AB4869">
              <w:rPr>
                <w:rFonts w:ascii="Times New Roman" w:hAnsi="Times New Roman" w:cs="Times New Roman"/>
              </w:rPr>
              <w:t>Работа по поступлению и выбытию нефинансовых активов осуществляется в соответствии с Положением о комиссии по поступлению  выбытию активов, утвержденным  приказом Отделения.</w:t>
            </w:r>
            <w:bookmarkEnd w:id="0"/>
          </w:p>
          <w:p w:rsidR="001C423C" w:rsidRPr="00AB4869" w:rsidRDefault="001C423C" w:rsidP="00D85FA4">
            <w:pPr>
              <w:pStyle w:val="a6"/>
              <w:suppressAutoHyphens/>
              <w:ind w:left="-108" w:firstLine="709"/>
              <w:outlineLvl w:val="2"/>
              <w:rPr>
                <w:sz w:val="20"/>
              </w:rPr>
            </w:pPr>
            <w:bookmarkStart w:id="1" w:name="_Toc8034531"/>
            <w:r w:rsidRPr="00AB4869">
              <w:rPr>
                <w:sz w:val="20"/>
              </w:rPr>
              <w:t xml:space="preserve">В случае частичной ликвидации или </w:t>
            </w:r>
            <w:proofErr w:type="spellStart"/>
            <w:r w:rsidRPr="00AB4869">
              <w:rPr>
                <w:sz w:val="20"/>
              </w:rPr>
              <w:t>разукомплектации</w:t>
            </w:r>
            <w:proofErr w:type="spellEnd"/>
            <w:r w:rsidRPr="00AB4869">
              <w:rPr>
                <w:sz w:val="20"/>
              </w:rPr>
              <w:t xml:space="preserve"> объекта основного средства, если стоимость ликвидируемых (разукомплектованных) частей не выделена в документах поставщик</w:t>
            </w:r>
            <w:proofErr w:type="gramStart"/>
            <w:r w:rsidRPr="00AB4869">
              <w:rPr>
                <w:sz w:val="20"/>
              </w:rPr>
              <w:t>а</w:t>
            </w:r>
            <w:r w:rsidR="00BC60EB" w:rsidRPr="00AB4869">
              <w:rPr>
                <w:sz w:val="20"/>
              </w:rPr>
              <w:t>(</w:t>
            </w:r>
            <w:proofErr w:type="gramEnd"/>
            <w:r w:rsidR="00BC60EB" w:rsidRPr="00AB4869">
              <w:rPr>
                <w:sz w:val="20"/>
              </w:rPr>
              <w:t>передающей стороны)</w:t>
            </w:r>
            <w:r w:rsidRPr="00AB4869">
              <w:rPr>
                <w:sz w:val="20"/>
              </w:rPr>
              <w:t>, стоимость таких частей определяется пропорционально натуральным показателям (площади, объему, весу, иному показателю, установленному комиссией по поступлению и выбытию нефинансовых активов).</w:t>
            </w:r>
            <w:bookmarkEnd w:id="1"/>
            <w:r w:rsidRPr="00AB48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C423C" w:rsidRPr="00AB4869" w:rsidRDefault="001C423C" w:rsidP="001C423C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п.1.1-1.2.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90262" w:rsidRPr="00AB4869" w:rsidTr="008438C5">
        <w:tc>
          <w:tcPr>
            <w:tcW w:w="2392" w:type="dxa"/>
          </w:tcPr>
          <w:p w:rsidR="00D849DD" w:rsidRPr="00AB4869" w:rsidRDefault="00D849DD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486B3B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44" w:type="dxa"/>
          </w:tcPr>
          <w:p w:rsidR="00497120" w:rsidRPr="00AB4869" w:rsidRDefault="00497120" w:rsidP="00486B3B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486B3B" w:rsidP="00486B3B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8221" w:type="dxa"/>
          </w:tcPr>
          <w:p w:rsidR="00F90262" w:rsidRPr="00AB4869" w:rsidRDefault="00486B3B" w:rsidP="009A2C40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Списание ГСМ производится по установленным нормам расхода ГСМ, утвержденных приказом Отделения.</w:t>
            </w:r>
          </w:p>
        </w:tc>
        <w:tc>
          <w:tcPr>
            <w:tcW w:w="2268" w:type="dxa"/>
          </w:tcPr>
          <w:p w:rsidR="00F90262" w:rsidRPr="00AB4869" w:rsidRDefault="00486B3B" w:rsidP="00486B3B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п.1.3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90262" w:rsidRPr="00AB4869" w:rsidTr="008438C5">
        <w:tc>
          <w:tcPr>
            <w:tcW w:w="2392" w:type="dxa"/>
          </w:tcPr>
          <w:p w:rsidR="00CA23AA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Права пользования активами</w:t>
            </w:r>
            <w:r>
              <w:rPr>
                <w:rFonts w:ascii="Times New Roman" w:hAnsi="Times New Roman" w:cs="Times New Roman"/>
              </w:rPr>
              <w:t>, доходы и расходы будущих периодов</w:t>
            </w:r>
          </w:p>
        </w:tc>
        <w:tc>
          <w:tcPr>
            <w:tcW w:w="1544" w:type="dxa"/>
          </w:tcPr>
          <w:p w:rsidR="00CA23AA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111, 401.40, 401.50</w:t>
            </w:r>
          </w:p>
        </w:tc>
        <w:tc>
          <w:tcPr>
            <w:tcW w:w="8221" w:type="dxa"/>
          </w:tcPr>
          <w:p w:rsidR="007F53BF" w:rsidRPr="007F53BF" w:rsidRDefault="007F53BF" w:rsidP="007F53BF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При определении справедливой стоимости, в соответствии с пунктом 59 СГС «Концептуальные основы бухгалтерского учета и отчетности организаций государственного сектора»,  используются документально подтвержденные данные о рыночных ценах, полученные Отделением как от независимых экспертов (оценщиков), либо сформированные Комиссией по поступлению и выбытию актива путем изучения рыночных цен в открытом доступе.</w:t>
            </w:r>
          </w:p>
          <w:p w:rsidR="007F53BF" w:rsidRPr="007F53BF" w:rsidRDefault="007F53BF" w:rsidP="007F53BF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Справедливая стоимость арендных платежей по договорам безвозмездного пользования нежилых помещений, при отсутствии документально подтвержденных данных </w:t>
            </w:r>
            <w:proofErr w:type="gramStart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рыночных</w:t>
            </w:r>
            <w:proofErr w:type="gramEnd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 цен, учитывается из расчета 1 рубль за 1 квадратный метр в месяц.</w:t>
            </w:r>
          </w:p>
          <w:bookmarkEnd w:id="2"/>
          <w:p w:rsidR="00F90262" w:rsidRPr="00AB4869" w:rsidRDefault="00F90262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262" w:rsidRPr="00AB4869" w:rsidRDefault="00ED61E6" w:rsidP="00ED61E6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п.1.4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RPr="00AB4869" w:rsidTr="008438C5">
        <w:tc>
          <w:tcPr>
            <w:tcW w:w="2392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Запасные части к транспортным средствам, выданные </w:t>
            </w:r>
            <w:r w:rsidRPr="00AB4869">
              <w:rPr>
                <w:rFonts w:ascii="Times New Roman" w:hAnsi="Times New Roman" w:cs="Times New Roman"/>
              </w:rPr>
              <w:lastRenderedPageBreak/>
              <w:t>взамен изношенных</w:t>
            </w:r>
          </w:p>
        </w:tc>
        <w:tc>
          <w:tcPr>
            <w:tcW w:w="1544" w:type="dxa"/>
          </w:tcPr>
          <w:p w:rsidR="00F61A89" w:rsidRPr="00AB4869" w:rsidRDefault="00F61A89" w:rsidP="00F61A89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8221" w:type="dxa"/>
          </w:tcPr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Для учета материальных ценностей, выданных на транспортные средства взамен изношенных, в целях </w:t>
            </w:r>
            <w:proofErr w:type="gram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их использованием используется 09 </w:t>
            </w:r>
            <w:proofErr w:type="spell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забалансовый</w:t>
            </w:r>
            <w:proofErr w:type="spell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счет «Запасные части к транспортным средствам, выданные взамен изношенных». Перечень </w:t>
            </w:r>
            <w:r w:rsidRPr="00655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материальных ценностей, учитываемых на </w:t>
            </w:r>
            <w:proofErr w:type="spell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655285">
                <w:rPr>
                  <w:rFonts w:ascii="Times New Roman" w:hAnsi="Times New Roman" w:cs="Times New Roman"/>
                  <w:sz w:val="20"/>
                  <w:szCs w:val="20"/>
                </w:rPr>
                <w:t>счете</w:t>
              </w:r>
            </w:hyperlink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- двигатели;</w:t>
            </w:r>
          </w:p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- аккумуляторы;</w:t>
            </w:r>
          </w:p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- шины;</w:t>
            </w:r>
          </w:p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- диски колес.</w:t>
            </w:r>
          </w:p>
          <w:p w:rsidR="00F61A89" w:rsidRPr="00655285" w:rsidRDefault="00F61A89" w:rsidP="00655285">
            <w:pPr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1A89" w:rsidRPr="00AB4869" w:rsidRDefault="00F61A89" w:rsidP="00915684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>п.</w:t>
            </w:r>
            <w:r w:rsidR="00B3381C" w:rsidRPr="00AB4869">
              <w:rPr>
                <w:rFonts w:ascii="Times New Roman" w:hAnsi="Times New Roman" w:cs="Times New Roman"/>
              </w:rPr>
              <w:t xml:space="preserve"> </w:t>
            </w:r>
            <w:r w:rsidRPr="00AB4869">
              <w:rPr>
                <w:rFonts w:ascii="Times New Roman" w:hAnsi="Times New Roman" w:cs="Times New Roman"/>
              </w:rPr>
              <w:t>5.</w:t>
            </w:r>
            <w:r w:rsidR="00915684" w:rsidRPr="00AB4869">
              <w:rPr>
                <w:rFonts w:ascii="Times New Roman" w:hAnsi="Times New Roman" w:cs="Times New Roman"/>
              </w:rPr>
              <w:t>1</w:t>
            </w:r>
            <w:r w:rsidRPr="00AB4869">
              <w:rPr>
                <w:rFonts w:ascii="Times New Roman" w:hAnsi="Times New Roman" w:cs="Times New Roman"/>
              </w:rPr>
              <w:t xml:space="preserve">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RPr="00AB4869" w:rsidTr="00903868">
        <w:trPr>
          <w:trHeight w:val="2391"/>
        </w:trPr>
        <w:tc>
          <w:tcPr>
            <w:tcW w:w="2392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61A89" w:rsidRPr="00AB4869" w:rsidRDefault="00F61A89" w:rsidP="001B02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4869">
              <w:rPr>
                <w:rFonts w:ascii="Times New Roman" w:hAnsi="Times New Roman" w:cs="Times New Roman"/>
              </w:rPr>
              <w:t>Задолженность</w:t>
            </w:r>
            <w:proofErr w:type="gramEnd"/>
            <w:r w:rsidRPr="00AB4869">
              <w:rPr>
                <w:rFonts w:ascii="Times New Roman" w:hAnsi="Times New Roman" w:cs="Times New Roman"/>
              </w:rPr>
              <w:t xml:space="preserve"> не востребованная кредиторами</w:t>
            </w:r>
          </w:p>
        </w:tc>
        <w:tc>
          <w:tcPr>
            <w:tcW w:w="1544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21" w:type="dxa"/>
          </w:tcPr>
          <w:p w:rsidR="00F61A89" w:rsidRPr="00AB4869" w:rsidRDefault="00F61A89" w:rsidP="006F477D">
            <w:pPr>
              <w:pStyle w:val="a7"/>
              <w:suppressAutoHyphens/>
              <w:spacing w:line="360" w:lineRule="auto"/>
              <w:ind w:left="0" w:firstLine="567"/>
              <w:jc w:val="both"/>
              <w:outlineLvl w:val="2"/>
            </w:pPr>
            <w:bookmarkStart w:id="3" w:name="_Toc8034542"/>
            <w:r w:rsidRPr="00AB4869">
              <w:t>Для осуществления списания кредиторской задолженности</w:t>
            </w:r>
            <w:r w:rsidR="006F477D" w:rsidRPr="00AB4869">
              <w:t xml:space="preserve"> </w:t>
            </w:r>
            <w:r w:rsidR="00E631BC" w:rsidRPr="00AB4869">
              <w:t>(в отношении кредиторов по Испо</w:t>
            </w:r>
            <w:r w:rsidR="00EA254F" w:rsidRPr="00AB4869">
              <w:t>л</w:t>
            </w:r>
            <w:r w:rsidR="00E631BC" w:rsidRPr="00AB4869">
              <w:t>нению бюджета)</w:t>
            </w:r>
            <w:r w:rsidRPr="00AB4869">
              <w:t xml:space="preserve"> с </w:t>
            </w:r>
            <w:proofErr w:type="spellStart"/>
            <w:r w:rsidRPr="00AB4869">
              <w:t>забалансового</w:t>
            </w:r>
            <w:proofErr w:type="spellEnd"/>
            <w:r w:rsidRPr="00AB4869">
              <w:t xml:space="preserve"> счета  20 «Задолженность не востребованная кредиторами» сумм свыше 100000 (Сто тысяч) рублей по причине - истечение срока исковой давности (3 года) структурным подразделением территориального органа ПФР, осуществляющим выплату пенсий представляются на рассмотрение в инвентаризационную комиссию Отделения следующие документы: сведения ЗАГС о смерти пенсионера, реестр инвентаризации расчетов с прочими дебиторами и кредиторами (приложение 105 к Учетной политике ПФР).</w:t>
            </w:r>
            <w:bookmarkEnd w:id="3"/>
            <w:r w:rsidRPr="00AB4869">
              <w:t xml:space="preserve"> </w:t>
            </w:r>
          </w:p>
        </w:tc>
        <w:tc>
          <w:tcPr>
            <w:tcW w:w="2268" w:type="dxa"/>
          </w:tcPr>
          <w:p w:rsidR="00F61A89" w:rsidRPr="00AB4869" w:rsidRDefault="00F61A89" w:rsidP="00C45DFC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п.5.2.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RPr="00AB4869" w:rsidTr="008438C5">
        <w:tc>
          <w:tcPr>
            <w:tcW w:w="2392" w:type="dxa"/>
          </w:tcPr>
          <w:p w:rsidR="00F61A89" w:rsidRPr="00AB4869" w:rsidRDefault="00F61A89" w:rsidP="00F902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A89" w:rsidRPr="00AB4869" w:rsidRDefault="00F61A89" w:rsidP="001B02CC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eastAsia="Times New Roman" w:hAnsi="Times New Roman" w:cs="Times New Roman"/>
                <w:lang w:eastAsia="ru-RU"/>
              </w:rPr>
              <w:t>SIM-карты</w:t>
            </w:r>
          </w:p>
        </w:tc>
        <w:tc>
          <w:tcPr>
            <w:tcW w:w="1544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С34</w:t>
            </w:r>
          </w:p>
        </w:tc>
        <w:tc>
          <w:tcPr>
            <w:tcW w:w="8221" w:type="dxa"/>
          </w:tcPr>
          <w:p w:rsidR="00F61A89" w:rsidRPr="00AB4869" w:rsidRDefault="00F61A89" w:rsidP="008438C5">
            <w:pPr>
              <w:suppressAutoHyphens/>
              <w:spacing w:line="360" w:lineRule="auto"/>
              <w:ind w:firstLine="602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Toc8034543"/>
            <w:r w:rsidRPr="00AB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сим-карт телефонной связи в разрезе материально ответственных лиц по их количеству и стоимости приобретения, а в случае отсутствия стоимости - в условной оценке один рубль за одну карту.</w:t>
            </w:r>
            <w:bookmarkEnd w:id="4"/>
          </w:p>
        </w:tc>
        <w:tc>
          <w:tcPr>
            <w:tcW w:w="2268" w:type="dxa"/>
          </w:tcPr>
          <w:p w:rsidR="00F61A89" w:rsidRPr="00AB4869" w:rsidRDefault="00F61A89" w:rsidP="00C45DFC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п.5.3.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Tr="008438C5">
        <w:tc>
          <w:tcPr>
            <w:tcW w:w="2392" w:type="dxa"/>
          </w:tcPr>
          <w:p w:rsidR="00F61A89" w:rsidRPr="00AB4869" w:rsidRDefault="00F61A89" w:rsidP="00D849DD">
            <w:pPr>
              <w:jc w:val="center"/>
              <w:rPr>
                <w:rFonts w:ascii="Times New Roman" w:hAnsi="Times New Roman" w:cs="Times New Roman"/>
              </w:rPr>
            </w:pPr>
          </w:p>
          <w:p w:rsidR="00F61A89" w:rsidRPr="00AB4869" w:rsidRDefault="00F61A89" w:rsidP="00D849DD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Расчеты по доходам, расчеты по ущербу и иным доходам.</w:t>
            </w:r>
          </w:p>
        </w:tc>
        <w:tc>
          <w:tcPr>
            <w:tcW w:w="1544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205</w:t>
            </w: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209</w:t>
            </w: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61A89" w:rsidRPr="00AB4869" w:rsidRDefault="00F61A89" w:rsidP="0078511F">
            <w:pPr>
              <w:pStyle w:val="a6"/>
              <w:suppressAutoHyphens/>
              <w:ind w:firstLine="744"/>
              <w:outlineLvl w:val="2"/>
              <w:rPr>
                <w:color w:val="FF0000"/>
                <w:sz w:val="20"/>
              </w:rPr>
            </w:pPr>
            <w:bookmarkStart w:id="5" w:name="_Toc8034546"/>
            <w:r w:rsidRPr="00AB4869">
              <w:rPr>
                <w:sz w:val="20"/>
              </w:rPr>
              <w:t>В целях проведения сверки внутренних расчетов структурное подразделение, осуществляющее расчеты по администрированию поступлений, ежемесячно формирует и направляет в структурное подразделение, ведущее бюджетный учет, Реестр дебиторов (приложение 52а к настоящей Учетной политике) по мере технической готовности программных продуктов ПТК НВП, ПК СПУ, РКП «АСВ», 1С «ИБ».</w:t>
            </w:r>
            <w:bookmarkEnd w:id="5"/>
          </w:p>
          <w:p w:rsidR="00F61A89" w:rsidRPr="00AB4869" w:rsidRDefault="00F61A89" w:rsidP="0078511F">
            <w:pPr>
              <w:pStyle w:val="a7"/>
              <w:suppressAutoHyphens/>
              <w:spacing w:line="360" w:lineRule="auto"/>
              <w:ind w:left="0" w:firstLine="602"/>
              <w:jc w:val="both"/>
              <w:outlineLvl w:val="1"/>
            </w:pPr>
            <w:bookmarkStart w:id="6" w:name="_Toc8034547"/>
            <w:proofErr w:type="gramStart"/>
            <w:r w:rsidRPr="00AB4869">
              <w:t>В случае переезда пенсионера (получателя средств материнского (семейного) капитала) в другой район внутри региона в связи с изменением места жительства в бюджетном учете операции по передаче переплат пенсий, пособий и иных социальных выплат между территориальными органами ПФР, подведомственными отделению ПФР используется счет 1 209 34 000 «Расчеты по доходам от компенсации затрат» в корреспонденции со счетом аналитического учета 1 401</w:t>
            </w:r>
            <w:proofErr w:type="gramEnd"/>
            <w:r w:rsidRPr="00AB4869">
              <w:t xml:space="preserve"> 10 000 «Доходы текущего </w:t>
            </w:r>
            <w:r w:rsidRPr="00AB4869">
              <w:lastRenderedPageBreak/>
              <w:t xml:space="preserve">финансового года». Территориальный орган ПФР в передающем районе формирует Акт приема (передачи) переплат пенсий и иных социальных выплат в связи с переменой получателями места жительства (Приложение 7 к настоящей УП) и передает принимающей стороне в составе пенсионного дела. </w:t>
            </w:r>
            <w:proofErr w:type="gramStart"/>
            <w:r w:rsidRPr="00AB4869">
              <w:t>На основании этих документов принимающий район в Ведомости выявленных и погашенных переплат пенсий, пособий и иных социальных выплат (по вине пенсионеров) (приложение 51 к Учетной политике ПФР) по графе 6 «Выявлено» и Реестре для начисления доходов (приложение 49 к Учетной политике ПФР) отражает сумму полученной переплаты пенсий и иных социальных выплат, а передающий район в тех же приложениях указывает сумму</w:t>
            </w:r>
            <w:proofErr w:type="gramEnd"/>
            <w:r w:rsidRPr="00AB4869">
              <w:t xml:space="preserve"> переданной переплаты со знаком минус.</w:t>
            </w:r>
            <w:bookmarkEnd w:id="6"/>
            <w:r w:rsidRPr="00AB4869">
              <w:t xml:space="preserve"> </w:t>
            </w:r>
          </w:p>
          <w:p w:rsidR="00F61A89" w:rsidRPr="00AB4869" w:rsidRDefault="00F61A89" w:rsidP="0078511F">
            <w:pPr>
              <w:pStyle w:val="a8"/>
              <w:suppressAutoHyphens/>
              <w:ind w:left="-107" w:firstLine="709"/>
              <w:outlineLvl w:val="1"/>
              <w:rPr>
                <w:sz w:val="20"/>
              </w:rPr>
            </w:pPr>
            <w:bookmarkStart w:id="7" w:name="_Toc8034548"/>
            <w:r w:rsidRPr="00AB4869">
              <w:rPr>
                <w:sz w:val="20"/>
              </w:rPr>
              <w:t xml:space="preserve">Возврат пенсионеру сумм, излишне внесенных им в погашение переплат пенсий, пособий и иных социальных выплат, осуществляется отделом казначейства Отделения на основании решения о возврате, подписанного руководителем и главным бухгалтером Отделения. </w:t>
            </w:r>
            <w:proofErr w:type="gramStart"/>
            <w:r w:rsidRPr="00AB4869">
              <w:rPr>
                <w:sz w:val="20"/>
              </w:rPr>
              <w:t>Решение о возврате принимается на основании заявления пенсионера о возврате излишне уплаченных сумм, сопроводительного письма руководителя территориального органа ПФР подведомственного отделению ПФР о факте выявления и погашения переплаты пенсий, пособий и иных социальных выплат (в произвольной форме) с приложением копий ИНН пенсионера, квитанции об оплате,  реквизитов для возврата и оформляется Заявкой на возврат (форма по КФД 0531803).</w:t>
            </w:r>
            <w:bookmarkEnd w:id="7"/>
            <w:proofErr w:type="gramEnd"/>
          </w:p>
          <w:p w:rsidR="00F61A89" w:rsidRPr="00AB4869" w:rsidRDefault="00F61A89" w:rsidP="00D849DD">
            <w:pPr>
              <w:pStyle w:val="a8"/>
              <w:suppressAutoHyphens/>
              <w:ind w:firstLine="602"/>
              <w:outlineLvl w:val="1"/>
              <w:rPr>
                <w:sz w:val="20"/>
                <w:lang w:val="en-US"/>
              </w:rPr>
            </w:pPr>
            <w:bookmarkStart w:id="8" w:name="_Toc8034549"/>
            <w:r w:rsidRPr="00AB4869">
              <w:rPr>
                <w:sz w:val="20"/>
              </w:rPr>
              <w:t>По факту выявленных нарушений контрольно – ревизионный отдел отделения ПФР формирует Реестр для начисления доходов, администрируемых ПФР (приложение 8 к настоящей Учетной политике), и направляет его в территориальный  орган подведомственный Отделению ПФР.</w:t>
            </w:r>
            <w:bookmarkEnd w:id="8"/>
          </w:p>
        </w:tc>
        <w:tc>
          <w:tcPr>
            <w:tcW w:w="2268" w:type="dxa"/>
          </w:tcPr>
          <w:p w:rsidR="00F61A89" w:rsidRPr="009A2C40" w:rsidRDefault="00F61A89" w:rsidP="00915684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>п.1-</w:t>
            </w:r>
            <w:r w:rsidR="00915684" w:rsidRPr="00AB4869">
              <w:rPr>
                <w:rFonts w:ascii="Times New Roman" w:hAnsi="Times New Roman" w:cs="Times New Roman"/>
              </w:rPr>
              <w:t>3</w:t>
            </w:r>
            <w:r w:rsidRPr="00AB4869">
              <w:rPr>
                <w:rFonts w:ascii="Times New Roman" w:hAnsi="Times New Roman" w:cs="Times New Roman"/>
              </w:rPr>
              <w:t xml:space="preserve">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IV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ГУ ОПФР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</w:tbl>
    <w:p w:rsidR="00F90262" w:rsidRPr="00F61A89" w:rsidRDefault="00F90262" w:rsidP="00B746B7">
      <w:pPr>
        <w:rPr>
          <w:rFonts w:ascii="Times New Roman" w:hAnsi="Times New Roman" w:cs="Times New Roman"/>
          <w:sz w:val="28"/>
          <w:szCs w:val="28"/>
        </w:rPr>
      </w:pPr>
    </w:p>
    <w:sectPr w:rsidR="00F90262" w:rsidRPr="00F61A89" w:rsidSect="009A2C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234"/>
    <w:multiLevelType w:val="multilevel"/>
    <w:tmpl w:val="008EA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57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color w:val="auto"/>
        <w:sz w:val="28"/>
      </w:rPr>
    </w:lvl>
  </w:abstractNum>
  <w:abstractNum w:abstractNumId="1">
    <w:nsid w:val="0CEC631A"/>
    <w:multiLevelType w:val="multilevel"/>
    <w:tmpl w:val="3080E7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E0E2EBA"/>
    <w:multiLevelType w:val="multilevel"/>
    <w:tmpl w:val="8E3E6D4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A8A269B"/>
    <w:multiLevelType w:val="multilevel"/>
    <w:tmpl w:val="7E9CB82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68926436"/>
    <w:multiLevelType w:val="multilevel"/>
    <w:tmpl w:val="E82A383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62"/>
    <w:rsid w:val="00050C8B"/>
    <w:rsid w:val="0006212D"/>
    <w:rsid w:val="000E6343"/>
    <w:rsid w:val="00136ABF"/>
    <w:rsid w:val="001B02CC"/>
    <w:rsid w:val="001C423C"/>
    <w:rsid w:val="001C4F5C"/>
    <w:rsid w:val="002D6390"/>
    <w:rsid w:val="002E538E"/>
    <w:rsid w:val="00333000"/>
    <w:rsid w:val="003C4B4D"/>
    <w:rsid w:val="0044291C"/>
    <w:rsid w:val="00486B3B"/>
    <w:rsid w:val="00497120"/>
    <w:rsid w:val="004E4399"/>
    <w:rsid w:val="00530A08"/>
    <w:rsid w:val="00655285"/>
    <w:rsid w:val="006F477D"/>
    <w:rsid w:val="0078511F"/>
    <w:rsid w:val="007F53BF"/>
    <w:rsid w:val="0081708A"/>
    <w:rsid w:val="00827CBD"/>
    <w:rsid w:val="008438C5"/>
    <w:rsid w:val="00903868"/>
    <w:rsid w:val="00915684"/>
    <w:rsid w:val="009A2C40"/>
    <w:rsid w:val="00A430F9"/>
    <w:rsid w:val="00A53738"/>
    <w:rsid w:val="00AB4869"/>
    <w:rsid w:val="00AD48D7"/>
    <w:rsid w:val="00AD566F"/>
    <w:rsid w:val="00B023C1"/>
    <w:rsid w:val="00B11616"/>
    <w:rsid w:val="00B3381C"/>
    <w:rsid w:val="00B746B7"/>
    <w:rsid w:val="00B807D1"/>
    <w:rsid w:val="00B95701"/>
    <w:rsid w:val="00BC60EB"/>
    <w:rsid w:val="00BD04BA"/>
    <w:rsid w:val="00C45DFC"/>
    <w:rsid w:val="00C63FB2"/>
    <w:rsid w:val="00CA23AA"/>
    <w:rsid w:val="00CA4987"/>
    <w:rsid w:val="00D03F38"/>
    <w:rsid w:val="00D4116E"/>
    <w:rsid w:val="00D849DD"/>
    <w:rsid w:val="00D85FA4"/>
    <w:rsid w:val="00E26A84"/>
    <w:rsid w:val="00E33573"/>
    <w:rsid w:val="00E631BC"/>
    <w:rsid w:val="00EA254F"/>
    <w:rsid w:val="00EC7C2D"/>
    <w:rsid w:val="00ED61E6"/>
    <w:rsid w:val="00F61A89"/>
    <w:rsid w:val="00F90262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902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90262"/>
    <w:rPr>
      <w:rFonts w:ascii="Tahoma" w:hAnsi="Tahoma" w:cs="Tahoma"/>
      <w:sz w:val="16"/>
      <w:szCs w:val="16"/>
    </w:rPr>
  </w:style>
  <w:style w:type="paragraph" w:styleId="a6">
    <w:name w:val="Normal Indent"/>
    <w:basedOn w:val="a"/>
    <w:unhideWhenUsed/>
    <w:rsid w:val="00ED61E6"/>
    <w:pPr>
      <w:spacing w:line="360" w:lineRule="auto"/>
      <w:ind w:firstLine="62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C45DF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8511F"/>
    <w:pPr>
      <w:spacing w:line="360" w:lineRule="auto"/>
      <w:ind w:right="6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8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23C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2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902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90262"/>
    <w:rPr>
      <w:rFonts w:ascii="Tahoma" w:hAnsi="Tahoma" w:cs="Tahoma"/>
      <w:sz w:val="16"/>
      <w:szCs w:val="16"/>
    </w:rPr>
  </w:style>
  <w:style w:type="paragraph" w:styleId="a6">
    <w:name w:val="Normal Indent"/>
    <w:basedOn w:val="a"/>
    <w:unhideWhenUsed/>
    <w:rsid w:val="00ED61E6"/>
    <w:pPr>
      <w:spacing w:line="360" w:lineRule="auto"/>
      <w:ind w:firstLine="62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C45DF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8511F"/>
    <w:pPr>
      <w:spacing w:line="360" w:lineRule="auto"/>
      <w:ind w:right="6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8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23C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2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699F061F1E6F1F62C2218A7F2D013C39DEC771F8919D71897FDC501E2A16B814F7DB474B5538D95472FF465ABEAF95B077E3482FE365F3tDs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0160000301</dc:creator>
  <cp:lastModifiedBy>016PermyakovaIV</cp:lastModifiedBy>
  <cp:revision>4</cp:revision>
  <cp:lastPrinted>2022-02-24T02:31:00Z</cp:lastPrinted>
  <dcterms:created xsi:type="dcterms:W3CDTF">2022-03-18T01:25:00Z</dcterms:created>
  <dcterms:modified xsi:type="dcterms:W3CDTF">2022-03-18T02:25:00Z</dcterms:modified>
</cp:coreProperties>
</file>