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6D" w:rsidRDefault="00B56C6D" w:rsidP="00B56C6D">
      <w:pPr>
        <w:pStyle w:val="Bodytext3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D130F" w:rsidRPr="00B56C6D">
        <w:rPr>
          <w:rFonts w:ascii="Times New Roman" w:hAnsi="Times New Roman" w:cs="Times New Roman"/>
          <w:sz w:val="24"/>
          <w:szCs w:val="24"/>
        </w:rPr>
        <w:t>Приложение к Учетной полит</w:t>
      </w:r>
      <w:r>
        <w:rPr>
          <w:rFonts w:ascii="Times New Roman" w:hAnsi="Times New Roman" w:cs="Times New Roman"/>
          <w:sz w:val="24"/>
          <w:szCs w:val="24"/>
        </w:rPr>
        <w:t>ике</w:t>
      </w:r>
    </w:p>
    <w:p w:rsidR="00FD130F" w:rsidRPr="00B56C6D" w:rsidRDefault="00FD130F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 w:rsidRPr="00B56C6D">
        <w:rPr>
          <w:rFonts w:ascii="Times New Roman" w:hAnsi="Times New Roman" w:cs="Times New Roman"/>
          <w:sz w:val="24"/>
          <w:szCs w:val="24"/>
        </w:rPr>
        <w:t xml:space="preserve">УПФР </w:t>
      </w:r>
      <w:proofErr w:type="gramStart"/>
      <w:r w:rsidRPr="00B56C6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6C6D">
        <w:rPr>
          <w:rFonts w:ascii="Times New Roman" w:hAnsi="Times New Roman" w:cs="Times New Roman"/>
          <w:sz w:val="24"/>
          <w:szCs w:val="24"/>
        </w:rPr>
        <w:t xml:space="preserve"> ЗАТО Александровск</w:t>
      </w:r>
    </w:p>
    <w:p w:rsidR="00FD130F" w:rsidRPr="00B56C6D" w:rsidRDefault="00B56C6D" w:rsidP="00B56C6D">
      <w:pPr>
        <w:pStyle w:val="Bodytext30"/>
        <w:shd w:val="clear" w:color="auto" w:fill="auto"/>
        <w:spacing w:after="0" w:line="360" w:lineRule="auto"/>
        <w:ind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FD130F" w:rsidRPr="00B56C6D">
        <w:rPr>
          <w:rFonts w:ascii="Times New Roman" w:hAnsi="Times New Roman" w:cs="Times New Roman"/>
          <w:sz w:val="24"/>
          <w:szCs w:val="24"/>
        </w:rPr>
        <w:t>Мурманской области (</w:t>
      </w:r>
      <w:proofErr w:type="gramStart"/>
      <w:r w:rsidR="00FD130F" w:rsidRPr="00B56C6D">
        <w:rPr>
          <w:rFonts w:ascii="Times New Roman" w:hAnsi="Times New Roman" w:cs="Times New Roman"/>
          <w:sz w:val="24"/>
          <w:szCs w:val="24"/>
        </w:rPr>
        <w:t>межрайонного</w:t>
      </w:r>
      <w:proofErr w:type="gramEnd"/>
      <w:r w:rsidR="00FD130F" w:rsidRPr="00B56C6D">
        <w:rPr>
          <w:rFonts w:ascii="Times New Roman" w:hAnsi="Times New Roman" w:cs="Times New Roman"/>
          <w:sz w:val="24"/>
          <w:szCs w:val="24"/>
        </w:rPr>
        <w:t>)</w:t>
      </w:r>
    </w:p>
    <w:p w:rsidR="00FD130F" w:rsidRPr="00B56C6D" w:rsidRDefault="00FD130F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 w:rsidRPr="00B56C6D">
        <w:rPr>
          <w:rFonts w:ascii="Times New Roman" w:hAnsi="Times New Roman" w:cs="Times New Roman"/>
          <w:sz w:val="24"/>
          <w:szCs w:val="24"/>
        </w:rPr>
        <w:t xml:space="preserve">Утверждено приказом УПФР </w:t>
      </w:r>
    </w:p>
    <w:p w:rsidR="00B56C6D" w:rsidRDefault="00B56C6D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Александровск Мурманской</w:t>
      </w:r>
    </w:p>
    <w:p w:rsidR="00B56C6D" w:rsidRDefault="00B56C6D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межрайонного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FD130F" w:rsidRPr="00B56C6D" w:rsidRDefault="00FD130F" w:rsidP="00B56C6D">
      <w:pPr>
        <w:pStyle w:val="Bodytext30"/>
        <w:shd w:val="clear" w:color="auto" w:fill="auto"/>
        <w:spacing w:after="0" w:line="360" w:lineRule="auto"/>
        <w:ind w:left="5670" w:hanging="141"/>
        <w:rPr>
          <w:rFonts w:ascii="Times New Roman" w:hAnsi="Times New Roman" w:cs="Times New Roman"/>
          <w:sz w:val="24"/>
          <w:szCs w:val="24"/>
        </w:rPr>
      </w:pPr>
      <w:r w:rsidRPr="00B56C6D">
        <w:rPr>
          <w:rFonts w:ascii="Times New Roman" w:hAnsi="Times New Roman" w:cs="Times New Roman"/>
          <w:sz w:val="24"/>
          <w:szCs w:val="24"/>
        </w:rPr>
        <w:t>от 29 декабря 2018 года № 15</w:t>
      </w:r>
      <w:r w:rsidR="0059716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FD130F" w:rsidRDefault="00FD130F" w:rsidP="00FD130F">
      <w:pPr>
        <w:pStyle w:val="Bodytext20"/>
        <w:shd w:val="clear" w:color="auto" w:fill="auto"/>
        <w:spacing w:before="0" w:after="0" w:line="360" w:lineRule="auto"/>
        <w:ind w:left="2620"/>
        <w:rPr>
          <w:rFonts w:ascii="Times New Roman" w:hAnsi="Times New Roman" w:cs="Times New Roman"/>
        </w:rPr>
      </w:pPr>
    </w:p>
    <w:p w:rsidR="00FD130F" w:rsidRDefault="00FD130F" w:rsidP="00FD130F">
      <w:pPr>
        <w:pStyle w:val="Bodytext20"/>
        <w:shd w:val="clear" w:color="auto" w:fill="auto"/>
        <w:spacing w:before="0" w:after="0" w:line="360" w:lineRule="auto"/>
        <w:ind w:left="2620"/>
        <w:rPr>
          <w:rFonts w:ascii="Times New Roman" w:hAnsi="Times New Roman" w:cs="Times New Roman"/>
          <w:sz w:val="26"/>
          <w:szCs w:val="26"/>
        </w:rPr>
      </w:pPr>
      <w:r w:rsidRPr="00C805FC">
        <w:rPr>
          <w:rFonts w:ascii="Times New Roman" w:hAnsi="Times New Roman" w:cs="Times New Roman"/>
          <w:sz w:val="26"/>
          <w:szCs w:val="26"/>
        </w:rPr>
        <w:t>Технология обработки учетной информации</w:t>
      </w:r>
    </w:p>
    <w:p w:rsidR="00C805FC" w:rsidRPr="00C805FC" w:rsidRDefault="00C805FC" w:rsidP="00C805FC">
      <w:pPr>
        <w:pStyle w:val="Bodytext20"/>
        <w:shd w:val="clear" w:color="auto" w:fill="auto"/>
        <w:spacing w:before="0" w:after="0" w:line="240" w:lineRule="auto"/>
        <w:ind w:left="2620"/>
        <w:rPr>
          <w:rFonts w:ascii="Times New Roman" w:hAnsi="Times New Roman" w:cs="Times New Roman"/>
          <w:sz w:val="26"/>
          <w:szCs w:val="26"/>
        </w:rPr>
      </w:pPr>
    </w:p>
    <w:p w:rsidR="00FD130F" w:rsidRPr="00EE066F" w:rsidRDefault="00FD130F" w:rsidP="00FD130F">
      <w:pPr>
        <w:pStyle w:val="Bodytext20"/>
        <w:shd w:val="clear" w:color="auto" w:fill="auto"/>
        <w:spacing w:before="0" w:after="0" w:line="360" w:lineRule="auto"/>
        <w:ind w:firstLine="62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Технология обработки учетной информации относится к организационным положениям Учетной политики УПФР </w:t>
      </w:r>
      <w:proofErr w:type="gramStart"/>
      <w:r w:rsidRPr="00EE066F">
        <w:rPr>
          <w:rFonts w:ascii="Times New Roman" w:hAnsi="Times New Roman" w:cs="Times New Roman"/>
          <w:sz w:val="26"/>
          <w:szCs w:val="24"/>
        </w:rPr>
        <w:t>в</w:t>
      </w:r>
      <w:proofErr w:type="gramEnd"/>
      <w:r w:rsidRPr="00EE066F">
        <w:rPr>
          <w:rFonts w:ascii="Times New Roman" w:hAnsi="Times New Roman" w:cs="Times New Roman"/>
          <w:sz w:val="26"/>
          <w:szCs w:val="24"/>
        </w:rPr>
        <w:t xml:space="preserve"> ЗАТО Александровск Мурманской области (межрайонного) и включает:</w:t>
      </w:r>
    </w:p>
    <w:p w:rsidR="00FD130F" w:rsidRPr="00EE066F" w:rsidRDefault="00FD130F" w:rsidP="00FD130F">
      <w:pPr>
        <w:pStyle w:val="Bodytext20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0" w:line="360" w:lineRule="auto"/>
        <w:ind w:firstLine="62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Меры по обеспечению сохранности электронных данных бюджетного учета и отчетности: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на серверах ежедневно производится сохранение резервных копий всех используемых информационных баз данных «1С»;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по итогам отчетного года после сдачи годовой отчетности производится архивирование информационных баз данных «1С» и программное обеспечение «1С» на внешние носители - 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CD</w:t>
      </w:r>
      <w:r w:rsidRPr="00EE066F">
        <w:rPr>
          <w:rFonts w:ascii="Times New Roman" w:hAnsi="Times New Roman" w:cs="Times New Roman"/>
          <w:sz w:val="26"/>
          <w:szCs w:val="24"/>
        </w:rPr>
        <w:t>-диски, которые сдаются на хранение в отдел по защите информации;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по итогам каждого календарного месяца с помощью перечисленных выше программных продуктов формируются регистры и сводные регистры бюджетного учета, систематизируются в хронологическом порядке и распечатываются на бумажном носителе.</w:t>
      </w:r>
    </w:p>
    <w:p w:rsidR="00FD130F" w:rsidRPr="00EE066F" w:rsidRDefault="00FD130F" w:rsidP="00FD130F">
      <w:pPr>
        <w:pStyle w:val="Bodytext20"/>
        <w:numPr>
          <w:ilvl w:val="0"/>
          <w:numId w:val="1"/>
        </w:numPr>
        <w:shd w:val="clear" w:color="auto" w:fill="auto"/>
        <w:tabs>
          <w:tab w:val="left" w:pos="914"/>
        </w:tabs>
        <w:spacing w:before="0" w:after="0" w:line="360" w:lineRule="auto"/>
        <w:ind w:firstLine="62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Электронный документооборот с использованием телекоммуникационных каналов связи и электронной подписи </w:t>
      </w:r>
      <w:r w:rsidR="00F05EC3" w:rsidRPr="00EE066F">
        <w:rPr>
          <w:rFonts w:ascii="Times New Roman" w:hAnsi="Times New Roman" w:cs="Times New Roman"/>
          <w:sz w:val="26"/>
          <w:szCs w:val="24"/>
        </w:rPr>
        <w:t>Управление</w:t>
      </w:r>
      <w:r w:rsidRPr="00EE066F">
        <w:rPr>
          <w:rFonts w:ascii="Times New Roman" w:hAnsi="Times New Roman" w:cs="Times New Roman"/>
          <w:sz w:val="26"/>
          <w:szCs w:val="24"/>
        </w:rPr>
        <w:t xml:space="preserve"> ПФР осуществля</w:t>
      </w:r>
      <w:r w:rsidR="00F05EC3" w:rsidRPr="00EE066F">
        <w:rPr>
          <w:rFonts w:ascii="Times New Roman" w:hAnsi="Times New Roman" w:cs="Times New Roman"/>
          <w:sz w:val="26"/>
          <w:szCs w:val="24"/>
        </w:rPr>
        <w:t>е</w:t>
      </w:r>
      <w:r w:rsidRPr="00EE066F">
        <w:rPr>
          <w:rFonts w:ascii="Times New Roman" w:hAnsi="Times New Roman" w:cs="Times New Roman"/>
          <w:sz w:val="26"/>
          <w:szCs w:val="24"/>
        </w:rPr>
        <w:t>т по следующим направлениям:</w:t>
      </w:r>
    </w:p>
    <w:p w:rsidR="00F05EC3" w:rsidRPr="00EE066F" w:rsidRDefault="00FD130F" w:rsidP="00F05EC3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электронный документооборот с Управлением Федерального казначейства по Мурманской области с применением программно</w:t>
      </w:r>
      <w:r w:rsidR="00F05EC3" w:rsidRPr="00EE066F">
        <w:rPr>
          <w:rFonts w:ascii="Times New Roman" w:hAnsi="Times New Roman" w:cs="Times New Roman"/>
          <w:sz w:val="26"/>
          <w:szCs w:val="24"/>
        </w:rPr>
        <w:t>го</w:t>
      </w:r>
      <w:r w:rsidRPr="00EE066F">
        <w:rPr>
          <w:rFonts w:ascii="Times New Roman" w:hAnsi="Times New Roman" w:cs="Times New Roman"/>
          <w:sz w:val="26"/>
          <w:szCs w:val="24"/>
        </w:rPr>
        <w:t xml:space="preserve"> обеспечения «Система удаленного финансового документооборота» на основании заключенного Договора об обмене электронными документами от </w:t>
      </w:r>
      <w:r w:rsidR="00F05EC3" w:rsidRPr="00EE066F">
        <w:rPr>
          <w:rFonts w:ascii="Times New Roman" w:hAnsi="Times New Roman" w:cs="Times New Roman"/>
          <w:sz w:val="26"/>
          <w:szCs w:val="24"/>
        </w:rPr>
        <w:t>16.12.2013 № 49-33-32-14856;</w:t>
      </w:r>
    </w:p>
    <w:p w:rsidR="00FD130F" w:rsidRPr="00EE066F" w:rsidRDefault="00FD130F" w:rsidP="00F05EC3">
      <w:pPr>
        <w:pStyle w:val="Bodytext20"/>
        <w:numPr>
          <w:ilvl w:val="0"/>
          <w:numId w:val="2"/>
        </w:numPr>
        <w:shd w:val="clear" w:color="auto" w:fill="auto"/>
        <w:tabs>
          <w:tab w:val="left" w:pos="277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передача месячной, квартальной и годовой бюджетной отчетности в </w:t>
      </w:r>
      <w:r w:rsidR="00D06C1F" w:rsidRPr="00EE066F">
        <w:rPr>
          <w:rFonts w:ascii="Times New Roman" w:hAnsi="Times New Roman" w:cs="Times New Roman"/>
          <w:sz w:val="26"/>
          <w:szCs w:val="24"/>
        </w:rPr>
        <w:t>Отделение ПФР по Мурманской области</w:t>
      </w:r>
      <w:r w:rsidRPr="00EE066F">
        <w:rPr>
          <w:rFonts w:ascii="Times New Roman" w:hAnsi="Times New Roman" w:cs="Times New Roman"/>
          <w:sz w:val="26"/>
          <w:szCs w:val="24"/>
        </w:rPr>
        <w:t xml:space="preserve"> с использование программного продукта 1С: «Свод отчетов </w:t>
      </w:r>
      <w:proofErr w:type="gramStart"/>
      <w:r w:rsidRPr="00EE066F">
        <w:rPr>
          <w:rFonts w:ascii="Times New Roman" w:hAnsi="Times New Roman" w:cs="Times New Roman"/>
          <w:sz w:val="26"/>
          <w:szCs w:val="24"/>
        </w:rPr>
        <w:t>ПРОФ</w:t>
      </w:r>
      <w:proofErr w:type="gramEnd"/>
      <w:r w:rsidRPr="00EE066F">
        <w:rPr>
          <w:rFonts w:ascii="Times New Roman" w:hAnsi="Times New Roman" w:cs="Times New Roman"/>
          <w:sz w:val="26"/>
          <w:szCs w:val="24"/>
        </w:rPr>
        <w:t>»;</w:t>
      </w:r>
    </w:p>
    <w:p w:rsidR="00FD130F" w:rsidRPr="00EE066F" w:rsidRDefault="00FD130F" w:rsidP="00FD130F">
      <w:pPr>
        <w:pStyle w:val="Bodytext20"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lastRenderedPageBreak/>
        <w:t>- 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D06C1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электронный документооборот с Управлением Федеральной налоговой службы по Мурманской области с применением </w:t>
      </w:r>
      <w:r w:rsidR="00D06C1F" w:rsidRPr="00EE066F">
        <w:rPr>
          <w:rFonts w:ascii="Times New Roman" w:hAnsi="Times New Roman" w:cs="Times New Roman"/>
          <w:sz w:val="26"/>
          <w:szCs w:val="24"/>
        </w:rPr>
        <w:t>программного обеспечения «СБИС Онлайн»;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передача отчетности во внебюджетные государственные фонды осуществляется с применением программного обеспечения «СБИС Онлайн»;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«</w:t>
      </w:r>
      <w:proofErr w:type="spellStart"/>
      <w:r w:rsidRPr="00EE066F">
        <w:rPr>
          <w:rFonts w:ascii="Times New Roman" w:hAnsi="Times New Roman" w:cs="Times New Roman"/>
          <w:sz w:val="26"/>
          <w:szCs w:val="24"/>
        </w:rPr>
        <w:t>Госуслуги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» и портала ФСС;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передача статистической отчетности в органы Росстата осуществляется с применением программного обеспечения «СБИС Онлайн»;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получение первичных расчетных (учетных) документов от поставщиков и подрядчиков на бумажном носителе, через систему электронного документооборота, в сроки на основании заключенных контрактов (договоров);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передача электронных реестров на перечисление (зачисление) денежных средств, изготовление пластиковых карт и т.д. по зарплатным проектам с кредитными учреждениями на основании заключенных договоров осуществляется с применением программного обеспечения кредитных учреждений;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размещение информации о деятельности учреждения на официальном сайте</w:t>
      </w:r>
      <w:r w:rsidR="00FC5DB1" w:rsidRPr="00EE066F">
        <w:rPr>
          <w:rFonts w:ascii="Times New Roman" w:hAnsi="Times New Roman" w:cs="Times New Roman"/>
          <w:sz w:val="26"/>
          <w:szCs w:val="24"/>
        </w:rPr>
        <w:t xml:space="preserve"> </w:t>
      </w:r>
      <w:r w:rsidRPr="00EE066F">
        <w:rPr>
          <w:rFonts w:ascii="Times New Roman" w:hAnsi="Times New Roman" w:cs="Times New Roman"/>
          <w:sz w:val="26"/>
          <w:szCs w:val="24"/>
        </w:rPr>
        <w:t xml:space="preserve">Отделения ПФР по Мурманской области – 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http</w:t>
      </w:r>
      <w:r w:rsidRPr="00EE066F">
        <w:rPr>
          <w:rFonts w:ascii="Times New Roman" w:hAnsi="Times New Roman" w:cs="Times New Roman"/>
          <w:sz w:val="26"/>
          <w:szCs w:val="24"/>
        </w:rPr>
        <w:t>://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www</w:t>
      </w:r>
      <w:r w:rsidRPr="00EE066F">
        <w:rPr>
          <w:rFonts w:ascii="Times New Roman" w:hAnsi="Times New Roman" w:cs="Times New Roman"/>
          <w:sz w:val="26"/>
          <w:szCs w:val="24"/>
        </w:rPr>
        <w:t>.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pfrf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.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ru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/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branches</w:t>
      </w:r>
      <w:r w:rsidRPr="00EE066F">
        <w:rPr>
          <w:rFonts w:ascii="Times New Roman" w:hAnsi="Times New Roman" w:cs="Times New Roman"/>
          <w:sz w:val="26"/>
          <w:szCs w:val="24"/>
        </w:rPr>
        <w:t>/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murmansk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>/</w:t>
      </w:r>
      <w:r w:rsidRPr="00EE066F">
        <w:rPr>
          <w:rFonts w:ascii="Times New Roman" w:hAnsi="Times New Roman" w:cs="Times New Roman"/>
          <w:sz w:val="26"/>
          <w:szCs w:val="24"/>
          <w:lang w:val="en-US"/>
        </w:rPr>
        <w:t>info</w:t>
      </w:r>
      <w:r w:rsidRPr="00EE066F">
        <w:rPr>
          <w:rFonts w:ascii="Times New Roman" w:hAnsi="Times New Roman" w:cs="Times New Roman"/>
          <w:sz w:val="26"/>
          <w:szCs w:val="24"/>
        </w:rPr>
        <w:t>;</w:t>
      </w:r>
    </w:p>
    <w:p w:rsidR="00FD130F" w:rsidRPr="00EE066F" w:rsidRDefault="00FD130F" w:rsidP="00FD130F">
      <w:pPr>
        <w:pStyle w:val="Bodytext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36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 xml:space="preserve">обмен первичными документами в части начисленных и доставленных сумм пенсий и иных социальных выплат (Расчетные ведомости, ведомости, реестры и т.д.) с </w:t>
      </w:r>
      <w:r w:rsidR="000D1EEB" w:rsidRPr="00EE066F">
        <w:rPr>
          <w:rFonts w:ascii="Times New Roman" w:hAnsi="Times New Roman" w:cs="Times New Roman"/>
          <w:sz w:val="26"/>
          <w:szCs w:val="24"/>
        </w:rPr>
        <w:t xml:space="preserve">Отделением ПФР по МО </w:t>
      </w:r>
      <w:r w:rsidRPr="00EE066F">
        <w:rPr>
          <w:rFonts w:ascii="Times New Roman" w:hAnsi="Times New Roman" w:cs="Times New Roman"/>
          <w:sz w:val="26"/>
          <w:szCs w:val="24"/>
        </w:rPr>
        <w:t>производится в электронном виде по защищенным каналам связи с использованием ПО «</w:t>
      </w:r>
      <w:proofErr w:type="spellStart"/>
      <w:r w:rsidRPr="00EE066F">
        <w:rPr>
          <w:rFonts w:ascii="Times New Roman" w:hAnsi="Times New Roman" w:cs="Times New Roman"/>
          <w:sz w:val="26"/>
          <w:szCs w:val="24"/>
          <w:lang w:val="en-US"/>
        </w:rPr>
        <w:t>VipNet</w:t>
      </w:r>
      <w:proofErr w:type="spellEnd"/>
      <w:r w:rsidRPr="00EE066F">
        <w:rPr>
          <w:rFonts w:ascii="Times New Roman" w:hAnsi="Times New Roman" w:cs="Times New Roman"/>
          <w:sz w:val="26"/>
          <w:szCs w:val="24"/>
        </w:rPr>
        <w:t xml:space="preserve"> Клиент».</w:t>
      </w:r>
    </w:p>
    <w:p w:rsidR="00FD130F" w:rsidRPr="00EE066F" w:rsidRDefault="00FD130F" w:rsidP="00FD130F">
      <w:pPr>
        <w:pStyle w:val="Bodytext20"/>
        <w:numPr>
          <w:ilvl w:val="0"/>
          <w:numId w:val="1"/>
        </w:numPr>
        <w:shd w:val="clear" w:color="auto" w:fill="auto"/>
        <w:tabs>
          <w:tab w:val="left" w:pos="907"/>
        </w:tabs>
        <w:spacing w:before="89" w:after="89" w:line="360" w:lineRule="auto"/>
        <w:ind w:firstLine="600"/>
        <w:jc w:val="both"/>
        <w:rPr>
          <w:rFonts w:ascii="Times New Roman" w:hAnsi="Times New Roman" w:cs="Times New Roman"/>
          <w:sz w:val="26"/>
          <w:szCs w:val="24"/>
        </w:rPr>
      </w:pPr>
      <w:r w:rsidRPr="00EE066F">
        <w:rPr>
          <w:rFonts w:ascii="Times New Roman" w:hAnsi="Times New Roman" w:cs="Times New Roman"/>
          <w:sz w:val="26"/>
          <w:szCs w:val="24"/>
        </w:rPr>
        <w:t>Без надлежащего оформления первичных (сводных) учетных документов любые добавления (исправления, внесение изменений) в электронных базах данных не допускаются.</w:t>
      </w:r>
    </w:p>
    <w:p w:rsidR="00FD130F" w:rsidRPr="00EE066F" w:rsidRDefault="00FD130F" w:rsidP="00FD130F">
      <w:pPr>
        <w:spacing w:line="360" w:lineRule="auto"/>
        <w:jc w:val="both"/>
        <w:rPr>
          <w:rStyle w:val="Bodytext2Exact"/>
          <w:rFonts w:ascii="Times New Roman" w:hAnsi="Times New Roman" w:cs="Times New Roman"/>
          <w:sz w:val="26"/>
        </w:rPr>
      </w:pPr>
    </w:p>
    <w:p w:rsidR="00FD130F" w:rsidRPr="00EE066F" w:rsidRDefault="00FD130F" w:rsidP="00FD130F">
      <w:pPr>
        <w:spacing w:line="360" w:lineRule="auto"/>
        <w:jc w:val="both"/>
        <w:rPr>
          <w:rStyle w:val="Bodytext2Exact"/>
          <w:rFonts w:ascii="Times New Roman" w:hAnsi="Times New Roman" w:cs="Times New Roman"/>
          <w:sz w:val="26"/>
        </w:rPr>
      </w:pPr>
    </w:p>
    <w:p w:rsidR="00FD130F" w:rsidRPr="00EE066F" w:rsidRDefault="000D1EEB" w:rsidP="00C805FC">
      <w:pPr>
        <w:spacing w:line="360" w:lineRule="auto"/>
        <w:jc w:val="both"/>
        <w:rPr>
          <w:rFonts w:ascii="Times New Roman" w:hAnsi="Times New Roman" w:cs="Times New Roman"/>
          <w:sz w:val="26"/>
        </w:rPr>
      </w:pPr>
      <w:r w:rsidRPr="00EE066F">
        <w:rPr>
          <w:rStyle w:val="Bodytext2Exact"/>
          <w:rFonts w:ascii="Times New Roman" w:hAnsi="Times New Roman" w:cs="Times New Roman"/>
          <w:sz w:val="26"/>
        </w:rPr>
        <w:t>Главный бухгалтер</w:t>
      </w:r>
      <w:r w:rsidR="00D137EA" w:rsidRPr="00EE066F">
        <w:rPr>
          <w:rStyle w:val="Bodytext2Exact"/>
          <w:rFonts w:ascii="Times New Roman" w:hAnsi="Times New Roman" w:cs="Times New Roman"/>
          <w:sz w:val="26"/>
        </w:rPr>
        <w:t xml:space="preserve"> </w:t>
      </w:r>
      <w:r w:rsidRPr="00EE066F">
        <w:rPr>
          <w:rStyle w:val="Bodytext2Exact"/>
          <w:rFonts w:ascii="Times New Roman" w:hAnsi="Times New Roman" w:cs="Times New Roman"/>
          <w:sz w:val="26"/>
        </w:rPr>
        <w:t>- р</w:t>
      </w:r>
      <w:r w:rsidR="00FD130F" w:rsidRPr="00EE066F">
        <w:rPr>
          <w:rStyle w:val="Bodytext2Exact"/>
          <w:rFonts w:ascii="Times New Roman" w:hAnsi="Times New Roman" w:cs="Times New Roman"/>
          <w:sz w:val="26"/>
        </w:rPr>
        <w:t xml:space="preserve">уководитель ФЭГ                                          </w:t>
      </w:r>
      <w:proofErr w:type="spellStart"/>
      <w:r w:rsidR="00FD130F" w:rsidRPr="00EE066F">
        <w:rPr>
          <w:rStyle w:val="Bodytext2Exact"/>
          <w:rFonts w:ascii="Times New Roman" w:hAnsi="Times New Roman" w:cs="Times New Roman"/>
          <w:sz w:val="26"/>
        </w:rPr>
        <w:t>Рекало</w:t>
      </w:r>
      <w:proofErr w:type="spellEnd"/>
      <w:r w:rsidR="00FD130F" w:rsidRPr="00EE066F">
        <w:rPr>
          <w:rStyle w:val="Bodytext2Exact"/>
          <w:rFonts w:ascii="Times New Roman" w:hAnsi="Times New Roman" w:cs="Times New Roman"/>
          <w:sz w:val="26"/>
        </w:rPr>
        <w:t xml:space="preserve"> Е.Ю.</w:t>
      </w:r>
    </w:p>
    <w:p w:rsidR="009926C1" w:rsidRPr="00EE066F" w:rsidRDefault="009926C1">
      <w:pPr>
        <w:rPr>
          <w:sz w:val="26"/>
        </w:rPr>
      </w:pPr>
    </w:p>
    <w:sectPr w:rsidR="009926C1" w:rsidRPr="00EE066F" w:rsidSect="00C805FC">
      <w:headerReference w:type="default" r:id="rId8"/>
      <w:pgSz w:w="11900" w:h="16840"/>
      <w:pgMar w:top="851" w:right="985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AB5" w:rsidRDefault="00044AB5">
      <w:r>
        <w:separator/>
      </w:r>
    </w:p>
  </w:endnote>
  <w:endnote w:type="continuationSeparator" w:id="0">
    <w:p w:rsidR="00044AB5" w:rsidRDefault="0004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AB5" w:rsidRDefault="00044AB5">
      <w:r>
        <w:separator/>
      </w:r>
    </w:p>
  </w:footnote>
  <w:footnote w:type="continuationSeparator" w:id="0">
    <w:p w:rsidR="00044AB5" w:rsidRDefault="00044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5E8" w:rsidRDefault="00FD130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A872969" wp14:editId="3E4C8E51">
              <wp:simplePos x="0" y="0"/>
              <wp:positionH relativeFrom="page">
                <wp:posOffset>3972560</wp:posOffset>
              </wp:positionH>
              <wp:positionV relativeFrom="page">
                <wp:posOffset>537845</wp:posOffset>
              </wp:positionV>
              <wp:extent cx="71120" cy="141605"/>
              <wp:effectExtent l="635" t="4445" r="1270" b="381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5E8" w:rsidRDefault="00044AB5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2.8pt;margin-top:42.35pt;width:5.6pt;height:11.1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" filled="f" stroked="f">
              <v:textbox style="mso-fit-shape-to-text:t" inset="0,0,0,0">
                <w:txbxContent>
                  <w:p w:rsidR="002E55E8" w:rsidRDefault="00FD130F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33949"/>
    <w:multiLevelType w:val="multilevel"/>
    <w:tmpl w:val="AAFE83A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B021E9"/>
    <w:multiLevelType w:val="multilevel"/>
    <w:tmpl w:val="60700D02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1C"/>
    <w:rsid w:val="00044AB5"/>
    <w:rsid w:val="000D1EEB"/>
    <w:rsid w:val="0046401C"/>
    <w:rsid w:val="00597169"/>
    <w:rsid w:val="009926C1"/>
    <w:rsid w:val="00B56C6D"/>
    <w:rsid w:val="00C805FC"/>
    <w:rsid w:val="00D06C1F"/>
    <w:rsid w:val="00D137EA"/>
    <w:rsid w:val="00EE066F"/>
    <w:rsid w:val="00F05EC3"/>
    <w:rsid w:val="00FC07A7"/>
    <w:rsid w:val="00FC5DB1"/>
    <w:rsid w:val="00FD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30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Headerorfooter">
    <w:name w:val="Header or footer_"/>
    <w:basedOn w:val="a0"/>
    <w:link w:val="Headerorfooter0"/>
    <w:rsid w:val="00FD130F"/>
    <w:rPr>
      <w:rFonts w:ascii="Cambria" w:eastAsia="Cambria" w:hAnsi="Cambria" w:cs="Cambria"/>
      <w:sz w:val="19"/>
      <w:szCs w:val="19"/>
      <w:shd w:val="clear" w:color="auto" w:fill="FFFFFF"/>
    </w:rPr>
  </w:style>
  <w:style w:type="character" w:customStyle="1" w:styleId="Bodytext2Exact">
    <w:name w:val="Body text (2) Exact"/>
    <w:basedOn w:val="a0"/>
    <w:rsid w:val="00FD130F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rsid w:val="00FD130F"/>
    <w:pPr>
      <w:shd w:val="clear" w:color="auto" w:fill="FFFFFF"/>
      <w:spacing w:after="300" w:line="396" w:lineRule="exac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Bodytext20">
    <w:name w:val="Body text (2)"/>
    <w:basedOn w:val="a"/>
    <w:link w:val="Bodytext2"/>
    <w:rsid w:val="00FD130F"/>
    <w:pPr>
      <w:shd w:val="clear" w:color="auto" w:fill="FFFFFF"/>
      <w:spacing w:before="300" w:after="720" w:line="0" w:lineRule="atLeas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Headerorfooter0">
    <w:name w:val="Header or footer"/>
    <w:basedOn w:val="a"/>
    <w:link w:val="Headerorfooter"/>
    <w:rsid w:val="00FD130F"/>
    <w:pPr>
      <w:shd w:val="clear" w:color="auto" w:fill="FFFFFF"/>
      <w:spacing w:line="0" w:lineRule="atLeast"/>
    </w:pPr>
    <w:rPr>
      <w:rFonts w:ascii="Cambria" w:eastAsia="Cambria" w:hAnsi="Cambria" w:cs="Cambria"/>
      <w:color w:val="auto"/>
      <w:sz w:val="19"/>
      <w:szCs w:val="19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30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FD130F"/>
    <w:rPr>
      <w:rFonts w:ascii="Cambria" w:eastAsia="Cambria" w:hAnsi="Cambria" w:cs="Cambria"/>
      <w:shd w:val="clear" w:color="auto" w:fill="FFFFFF"/>
    </w:rPr>
  </w:style>
  <w:style w:type="character" w:customStyle="1" w:styleId="Headerorfooter">
    <w:name w:val="Header or footer_"/>
    <w:basedOn w:val="a0"/>
    <w:link w:val="Headerorfooter0"/>
    <w:rsid w:val="00FD130F"/>
    <w:rPr>
      <w:rFonts w:ascii="Cambria" w:eastAsia="Cambria" w:hAnsi="Cambria" w:cs="Cambria"/>
      <w:sz w:val="19"/>
      <w:szCs w:val="19"/>
      <w:shd w:val="clear" w:color="auto" w:fill="FFFFFF"/>
    </w:rPr>
  </w:style>
  <w:style w:type="character" w:customStyle="1" w:styleId="Bodytext2Exact">
    <w:name w:val="Body text (2) Exact"/>
    <w:basedOn w:val="a0"/>
    <w:rsid w:val="00FD130F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rsid w:val="00FD130F"/>
    <w:pPr>
      <w:shd w:val="clear" w:color="auto" w:fill="FFFFFF"/>
      <w:spacing w:after="300" w:line="396" w:lineRule="exac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Bodytext20">
    <w:name w:val="Body text (2)"/>
    <w:basedOn w:val="a"/>
    <w:link w:val="Bodytext2"/>
    <w:rsid w:val="00FD130F"/>
    <w:pPr>
      <w:shd w:val="clear" w:color="auto" w:fill="FFFFFF"/>
      <w:spacing w:before="300" w:after="720" w:line="0" w:lineRule="atLeast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Headerorfooter0">
    <w:name w:val="Header or footer"/>
    <w:basedOn w:val="a"/>
    <w:link w:val="Headerorfooter"/>
    <w:rsid w:val="00FD130F"/>
    <w:pPr>
      <w:shd w:val="clear" w:color="auto" w:fill="FFFFFF"/>
      <w:spacing w:line="0" w:lineRule="atLeast"/>
    </w:pPr>
    <w:rPr>
      <w:rFonts w:ascii="Cambria" w:eastAsia="Cambria" w:hAnsi="Cambria" w:cs="Cambria"/>
      <w:color w:val="auto"/>
      <w:sz w:val="19"/>
      <w:szCs w:val="19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УПФР в ЗАТО Александровск Мурманской области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Рекало Елена Юрьевна</cp:lastModifiedBy>
  <cp:revision>11</cp:revision>
  <cp:lastPrinted>2019-01-13T15:21:00Z</cp:lastPrinted>
  <dcterms:created xsi:type="dcterms:W3CDTF">2019-01-10T11:41:00Z</dcterms:created>
  <dcterms:modified xsi:type="dcterms:W3CDTF">2019-01-13T15:22:00Z</dcterms:modified>
</cp:coreProperties>
</file>