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1"/>
        <w:gridCol w:w="23"/>
        <w:gridCol w:w="3172"/>
        <w:gridCol w:w="7407"/>
      </w:tblGrid>
      <w:tr w:rsidR="00B74763" w:rsidRPr="008A2FCE" w:rsidTr="009D5C9C">
        <w:trPr>
          <w:trHeight w:val="81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B74763" w:rsidRPr="00141DFF" w:rsidRDefault="00B74763" w:rsidP="00847E17">
            <w:pPr>
              <w:pStyle w:val="a3"/>
              <w:ind w:left="10915"/>
              <w:rPr>
                <w:rFonts w:ascii="Times New Roman" w:hAnsi="Times New Roman"/>
                <w:sz w:val="24"/>
                <w:szCs w:val="24"/>
              </w:rPr>
            </w:pPr>
            <w:r w:rsidRPr="002E6437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B74763" w:rsidRPr="00B70141" w:rsidRDefault="00B74763" w:rsidP="00847E17">
            <w:pPr>
              <w:pStyle w:val="a3"/>
              <w:ind w:left="109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ОПФР по Мурманской области от 30.12.20</w:t>
            </w:r>
            <w:r w:rsidRPr="00AE5FAA">
              <w:rPr>
                <w:rFonts w:ascii="Times New Roman" w:hAnsi="Times New Roman"/>
                <w:sz w:val="24"/>
                <w:szCs w:val="24"/>
              </w:rPr>
              <w:t>2</w:t>
            </w:r>
            <w:r w:rsidRPr="00924D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465п</w:t>
            </w:r>
          </w:p>
          <w:p w:rsidR="00B74763" w:rsidRDefault="00B74763" w:rsidP="00847E17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763" w:rsidRDefault="00B74763" w:rsidP="005E394C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E17">
              <w:rPr>
                <w:rFonts w:ascii="Times New Roman" w:hAnsi="Times New Roman"/>
                <w:b/>
                <w:sz w:val="28"/>
                <w:szCs w:val="28"/>
              </w:rPr>
              <w:t>Распределение полномочий администратора доходов бюджета ПФР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7E17">
              <w:rPr>
                <w:rFonts w:ascii="Times New Roman" w:hAnsi="Times New Roman"/>
                <w:b/>
                <w:sz w:val="28"/>
                <w:szCs w:val="28"/>
              </w:rPr>
              <w:t xml:space="preserve">между структурными подразделениями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Государственного учреждения – Отделения Пенсионного фонда Российской Федерации по Мурманской области</w:t>
            </w:r>
            <w:r w:rsidRPr="00847E17">
              <w:rPr>
                <w:rFonts w:ascii="Times New Roman" w:hAnsi="Times New Roman"/>
                <w:b/>
                <w:sz w:val="28"/>
                <w:szCs w:val="28"/>
              </w:rPr>
              <w:t>, осуществляющими работу по их администрированию</w:t>
            </w:r>
          </w:p>
          <w:p w:rsidR="00B74763" w:rsidRPr="008A2FCE" w:rsidRDefault="00B74763" w:rsidP="005E394C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763" w:rsidRPr="008A2FCE" w:rsidTr="009D5C9C">
        <w:tblPrEx>
          <w:tblCellMar>
            <w:left w:w="57" w:type="dxa"/>
            <w:right w:w="57" w:type="dxa"/>
          </w:tblCellMar>
        </w:tblPrEx>
        <w:trPr>
          <w:trHeight w:val="286"/>
        </w:trPr>
        <w:tc>
          <w:tcPr>
            <w:tcW w:w="1370" w:type="pct"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ОПФР по Мурманской области</w:t>
            </w:r>
          </w:p>
        </w:tc>
        <w:tc>
          <w:tcPr>
            <w:tcW w:w="1094" w:type="pct"/>
            <w:gridSpan w:val="2"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дохода</w:t>
            </w:r>
          </w:p>
        </w:tc>
        <w:tc>
          <w:tcPr>
            <w:tcW w:w="2536" w:type="pct"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</w:tr>
      <w:tr w:rsidR="00B74763" w:rsidRPr="008A2FCE" w:rsidTr="009D5C9C">
        <w:tblPrEx>
          <w:tblCellMar>
            <w:left w:w="57" w:type="dxa"/>
            <w:right w:w="57" w:type="dxa"/>
          </w:tblCellMar>
        </w:tblPrEx>
        <w:trPr>
          <w:trHeight w:val="286"/>
        </w:trPr>
        <w:tc>
          <w:tcPr>
            <w:tcW w:w="1370" w:type="pct"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4" w:type="pct"/>
            <w:gridSpan w:val="2"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pct"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4763" w:rsidRPr="008A2FCE" w:rsidTr="00BF19F4">
        <w:trPr>
          <w:trHeight w:val="70"/>
        </w:trPr>
        <w:tc>
          <w:tcPr>
            <w:tcW w:w="1378" w:type="pct"/>
            <w:gridSpan w:val="2"/>
            <w:vMerge w:val="restart"/>
          </w:tcPr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персонифицированного учета</w:t>
            </w: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4763" w:rsidRPr="008A2FCE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222767" w:rsidRDefault="00B74763" w:rsidP="0099640B">
            <w:pPr>
              <w:rPr>
                <w:rFonts w:ascii="Times New Roman" w:hAnsi="Times New Roman"/>
                <w:sz w:val="24"/>
                <w:szCs w:val="24"/>
              </w:rPr>
            </w:pPr>
            <w:r w:rsidRPr="00222767">
              <w:rPr>
                <w:rFonts w:ascii="Times New Roman" w:hAnsi="Times New Roman"/>
                <w:sz w:val="24"/>
                <w:szCs w:val="24"/>
              </w:rPr>
              <w:lastRenderedPageBreak/>
              <w:t>392 1 02 02042 06 1000 160</w:t>
            </w:r>
          </w:p>
        </w:tc>
        <w:tc>
          <w:tcPr>
            <w:tcW w:w="2536" w:type="pct"/>
          </w:tcPr>
          <w:p w:rsidR="00B74763" w:rsidRPr="00222767" w:rsidRDefault="00B74763" w:rsidP="009964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767">
              <w:rPr>
                <w:rFonts w:ascii="Times New Roman" w:hAnsi="Times New Roman"/>
                <w:sz w:val="24"/>
                <w:szCs w:val="24"/>
              </w:rPr>
              <w:t>Страховые взносы, уплачиваемые лицами, добровольно вступившими в правоотношения по обязательному пенсионному страхованию, зачисляемые в Пенсионный фонд Российской Федерации на выплату страховой пенсии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74763" w:rsidRPr="008A2FCE" w:rsidTr="009D5C9C">
        <w:trPr>
          <w:trHeight w:val="890"/>
        </w:trPr>
        <w:tc>
          <w:tcPr>
            <w:tcW w:w="1378" w:type="pct"/>
            <w:gridSpan w:val="2"/>
            <w:vMerge/>
          </w:tcPr>
          <w:p w:rsidR="00B74763" w:rsidRPr="008A2FCE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6" w:type="pct"/>
          </w:tcPr>
          <w:p w:rsidR="00B74763" w:rsidRPr="00222767" w:rsidRDefault="00B74763" w:rsidP="0099640B">
            <w:pPr>
              <w:rPr>
                <w:rFonts w:ascii="Times New Roman" w:hAnsi="Times New Roman"/>
                <w:sz w:val="24"/>
                <w:szCs w:val="24"/>
              </w:rPr>
            </w:pPr>
            <w:r w:rsidRPr="00222767">
              <w:rPr>
                <w:rFonts w:ascii="Times New Roman" w:hAnsi="Times New Roman"/>
                <w:sz w:val="24"/>
                <w:szCs w:val="24"/>
              </w:rPr>
              <w:t>392 1 02 02042 06 4000 160</w:t>
            </w:r>
          </w:p>
        </w:tc>
        <w:tc>
          <w:tcPr>
            <w:tcW w:w="2536" w:type="pct"/>
          </w:tcPr>
          <w:p w:rsidR="00B74763" w:rsidRPr="00222767" w:rsidRDefault="00B74763" w:rsidP="009964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767">
              <w:rPr>
                <w:rFonts w:ascii="Times New Roman" w:hAnsi="Times New Roman"/>
                <w:sz w:val="24"/>
                <w:szCs w:val="24"/>
              </w:rPr>
              <w:t xml:space="preserve">Страховые взносы, уплачиваемые лицами, добровольно вступившими в правоотношения по обязательному пенсионному страхованию, зачисляемые в Пенсионный фонд Российской Федерации на выплату </w:t>
            </w:r>
            <w:r>
              <w:rPr>
                <w:rFonts w:ascii="Times New Roman" w:hAnsi="Times New Roman"/>
                <w:sz w:val="24"/>
                <w:szCs w:val="24"/>
              </w:rPr>
              <w:t>страховой пенсии (прочие поступления)</w:t>
            </w:r>
          </w:p>
        </w:tc>
      </w:tr>
      <w:tr w:rsidR="00B74763" w:rsidRPr="008A2FCE" w:rsidTr="009D5C9C">
        <w:trPr>
          <w:trHeight w:val="270"/>
        </w:trPr>
        <w:tc>
          <w:tcPr>
            <w:tcW w:w="1378" w:type="pct"/>
            <w:gridSpan w:val="2"/>
            <w:vMerge/>
          </w:tcPr>
          <w:p w:rsidR="00B74763" w:rsidRPr="008A2FCE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6" w:type="pct"/>
          </w:tcPr>
          <w:p w:rsidR="00B74763" w:rsidRPr="00FC3970" w:rsidRDefault="00B74763" w:rsidP="002A77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970">
              <w:rPr>
                <w:rFonts w:ascii="Times New Roman" w:hAnsi="Times New Roman" w:cs="Times New Roman"/>
                <w:sz w:val="24"/>
                <w:szCs w:val="24"/>
              </w:rPr>
              <w:t xml:space="preserve">392 1 09 12000 06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970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2536" w:type="pct"/>
          </w:tcPr>
          <w:p w:rsidR="00B74763" w:rsidRPr="00FC3970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C3970">
              <w:rPr>
                <w:rFonts w:ascii="Times New Roman" w:hAnsi="Times New Roman"/>
                <w:sz w:val="24"/>
                <w:szCs w:val="24"/>
              </w:rPr>
              <w:t>Денежные взыскания (штрафы), налагаемые Пенсионным фондом Российской Федерации и его территориальными органами в соответствии со статьями 48-51 Федерального закона от 24 июля 2009 года № 212-ФЗ» 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</w:t>
            </w:r>
            <w:proofErr w:type="gramEnd"/>
          </w:p>
        </w:tc>
      </w:tr>
      <w:tr w:rsidR="00B74763" w:rsidRPr="008A2FCE" w:rsidTr="009D5C9C">
        <w:trPr>
          <w:trHeight w:val="1217"/>
        </w:trPr>
        <w:tc>
          <w:tcPr>
            <w:tcW w:w="1378" w:type="pct"/>
            <w:gridSpan w:val="2"/>
            <w:vMerge/>
          </w:tcPr>
          <w:p w:rsidR="00B74763" w:rsidRPr="00FC3970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392 1 02 02041 06 1100 160</w:t>
            </w:r>
          </w:p>
        </w:tc>
        <w:tc>
          <w:tcPr>
            <w:tcW w:w="2536" w:type="pct"/>
          </w:tcPr>
          <w:p w:rsidR="00B74763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FCE">
              <w:rPr>
                <w:rFonts w:ascii="Times New Roman" w:hAnsi="Times New Roman"/>
                <w:sz w:val="24"/>
                <w:szCs w:val="24"/>
              </w:rPr>
              <w:t>Дополнительные страховые взносы на накопительную пенсию и взносы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работодателя в пользу застрахованных лиц, уплачивающих дополнительные страховые взносы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на накопительную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пенсию, зачисляемые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Пенсионный фонд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lastRenderedPageBreak/>
              <w:t>(дополнительные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страховые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взносы на накопительную пенсию, зачисляемые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в Пенсионный фонд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763" w:rsidRPr="008A2FCE" w:rsidTr="009D5C9C">
        <w:trPr>
          <w:trHeight w:val="594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392 1 02 02041 06 1200 160</w:t>
            </w:r>
          </w:p>
        </w:tc>
        <w:tc>
          <w:tcPr>
            <w:tcW w:w="2536" w:type="pct"/>
          </w:tcPr>
          <w:p w:rsidR="00B74763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FCE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страховые взносы на накопительную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пенсию и взносы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работодателя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в пользу застрахованных лиц, уплачивающих дополнительные страховые взносы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на накопительную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пенсию, зачисляемые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Пенсионный фонд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(взносы работодателя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в пользу застрахованных лиц, уплачивающих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дополнительные страховые взносы на накопительную пенсию, зачисляемые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Пенсионный фонд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763" w:rsidRPr="008A2FCE" w:rsidTr="009D5C9C">
        <w:trPr>
          <w:trHeight w:val="19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392 1 02 02041 06 4000 160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 зачисляемые в Пенсионный фонд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(прочие поступления)</w:t>
            </w:r>
          </w:p>
        </w:tc>
      </w:tr>
      <w:tr w:rsidR="00B74763" w:rsidRPr="008A2FCE" w:rsidTr="009D5C9C">
        <w:trPr>
          <w:trHeight w:val="19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ind w:right="-3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392 </w:t>
            </w:r>
            <w:r w:rsidRPr="008A2FCE">
              <w:rPr>
                <w:rFonts w:ascii="Times New Roman" w:hAnsi="Times New Roman"/>
                <w:sz w:val="24"/>
                <w:szCs w:val="24"/>
                <w:lang w:eastAsia="ar-SA"/>
              </w:rPr>
              <w:t>1 02 02041 06 5000 160</w:t>
            </w:r>
          </w:p>
        </w:tc>
        <w:tc>
          <w:tcPr>
            <w:tcW w:w="2536" w:type="pct"/>
          </w:tcPr>
          <w:p w:rsidR="00B74763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C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страховые взносы на накопительную пенсию и взносы работодателя в пользу застрахованных лиц, уплачивающих дополнительные страховые взносы на накопительную пенсию,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зачисляемые в Пенсионный фонд Российской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B74763" w:rsidRPr="00BF19F4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763" w:rsidRPr="008A2FCE" w:rsidTr="00BF19F4">
        <w:trPr>
          <w:trHeight w:val="344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70">
              <w:rPr>
                <w:rFonts w:ascii="Times New Roman" w:hAnsi="Times New Roman"/>
                <w:sz w:val="24"/>
                <w:szCs w:val="24"/>
              </w:rPr>
              <w:t>392 1 16 07090 06 0000 140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767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Пенсионным фондом Российской Федерации</w:t>
            </w:r>
          </w:p>
        </w:tc>
      </w:tr>
      <w:tr w:rsidR="00B74763" w:rsidRPr="008A2FCE" w:rsidTr="009D5C9C">
        <w:trPr>
          <w:trHeight w:val="19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BC610A" w:rsidRDefault="00B74763" w:rsidP="00791DAE">
            <w:pPr>
              <w:rPr>
                <w:rFonts w:ascii="Times New Roman" w:hAnsi="Times New Roman"/>
                <w:sz w:val="24"/>
                <w:szCs w:val="24"/>
              </w:rPr>
            </w:pPr>
            <w:r w:rsidRPr="00B70C4B">
              <w:rPr>
                <w:rFonts w:ascii="Times New Roman" w:hAnsi="Times New Roman"/>
                <w:sz w:val="24"/>
                <w:szCs w:val="24"/>
              </w:rPr>
              <w:t>392 1 16 10124 01 0200  140</w:t>
            </w:r>
          </w:p>
        </w:tc>
        <w:tc>
          <w:tcPr>
            <w:tcW w:w="2536" w:type="pct"/>
          </w:tcPr>
          <w:p w:rsidR="00B74763" w:rsidRPr="00BC610A" w:rsidRDefault="00B74763" w:rsidP="0079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4B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Пенсионного фонда Российской Федерации по нормативам, действовавшим в 2019 году (иные, за исключением пенсионных накоплений)</w:t>
            </w:r>
          </w:p>
        </w:tc>
      </w:tr>
      <w:tr w:rsidR="00B74763" w:rsidRPr="008A2FCE" w:rsidTr="009D5C9C">
        <w:trPr>
          <w:trHeight w:val="193"/>
        </w:trPr>
        <w:tc>
          <w:tcPr>
            <w:tcW w:w="1378" w:type="pct"/>
            <w:gridSpan w:val="2"/>
            <w:vMerge/>
            <w:tcBorders>
              <w:bottom w:val="nil"/>
            </w:tcBorders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BC610A" w:rsidRDefault="00B74763" w:rsidP="00791DAE">
            <w:pPr>
              <w:rPr>
                <w:rFonts w:ascii="Times New Roman" w:hAnsi="Times New Roman"/>
                <w:sz w:val="24"/>
                <w:szCs w:val="24"/>
              </w:rPr>
            </w:pPr>
            <w:r w:rsidRPr="00BC610A">
              <w:rPr>
                <w:rFonts w:ascii="Times New Roman" w:hAnsi="Times New Roman"/>
                <w:sz w:val="24"/>
                <w:szCs w:val="24"/>
              </w:rPr>
              <w:t>392 1 16 01</w:t>
            </w:r>
            <w:r>
              <w:rPr>
                <w:rFonts w:ascii="Times New Roman" w:hAnsi="Times New Roman"/>
                <w:sz w:val="24"/>
                <w:szCs w:val="24"/>
              </w:rPr>
              <w:t>230</w:t>
            </w:r>
            <w:r w:rsidRPr="00BC610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6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C610A">
              <w:rPr>
                <w:rFonts w:ascii="Times New Roman" w:hAnsi="Times New Roman"/>
                <w:sz w:val="24"/>
                <w:szCs w:val="24"/>
              </w:rPr>
              <w:t>000 140</w:t>
            </w:r>
          </w:p>
        </w:tc>
        <w:tc>
          <w:tcPr>
            <w:tcW w:w="2536" w:type="pct"/>
          </w:tcPr>
          <w:p w:rsidR="00B74763" w:rsidRPr="00BC610A" w:rsidRDefault="00B74763" w:rsidP="0079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10A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C610A">
              <w:rPr>
                <w:rFonts w:ascii="Times New Roman" w:hAnsi="Times New Roman"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</w:t>
            </w:r>
            <w:r>
              <w:rPr>
                <w:rFonts w:ascii="Times New Roman" w:hAnsi="Times New Roman"/>
                <w:sz w:val="24"/>
                <w:szCs w:val="24"/>
              </w:rPr>
              <w:t>выявленные</w:t>
            </w:r>
            <w:r w:rsidRPr="00BC610A">
              <w:rPr>
                <w:rFonts w:ascii="Times New Roman" w:hAnsi="Times New Roman"/>
                <w:sz w:val="24"/>
                <w:szCs w:val="24"/>
              </w:rPr>
              <w:t xml:space="preserve"> должностными лицами </w:t>
            </w:r>
            <w:r>
              <w:rPr>
                <w:rFonts w:ascii="Times New Roman" w:hAnsi="Times New Roman"/>
                <w:sz w:val="24"/>
                <w:szCs w:val="24"/>
              </w:rPr>
              <w:t>Пенсионного фонда Российской Федерации</w:t>
            </w:r>
          </w:p>
        </w:tc>
      </w:tr>
      <w:tr w:rsidR="00B74763" w:rsidRPr="008A2FCE" w:rsidTr="009D5C9C">
        <w:trPr>
          <w:trHeight w:val="283"/>
        </w:trPr>
        <w:tc>
          <w:tcPr>
            <w:tcW w:w="1378" w:type="pct"/>
            <w:gridSpan w:val="2"/>
            <w:vMerge w:val="restart"/>
          </w:tcPr>
          <w:p w:rsidR="00B74763" w:rsidRPr="00AE5FAA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выплаты пенсий и социальных выплат</w:t>
            </w: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392 1 13 02996 06 6000 130</w:t>
            </w:r>
          </w:p>
        </w:tc>
        <w:tc>
          <w:tcPr>
            <w:tcW w:w="2536" w:type="pct"/>
          </w:tcPr>
          <w:p w:rsidR="00B74763" w:rsidRPr="008A2FCE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бюджета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(в части: выявленных переплат пенсий по вине получателя; возмещения учреждениями почтовой связи необоснованно (незаконно) выплаченных пенсий и иных социальных выплат (за предыдущие периоды, отличные от текущего месяца); </w:t>
            </w:r>
            <w:proofErr w:type="gramStart"/>
            <w:r w:rsidRPr="008A2FCE">
              <w:rPr>
                <w:rFonts w:ascii="Times New Roman" w:hAnsi="Times New Roman"/>
                <w:sz w:val="24"/>
                <w:szCs w:val="24"/>
              </w:rPr>
              <w:t>погашения выявленных переплат в размере поступивших сумм (в том числе возмещение переплат пенсий, образовавшихся вследствие неправильного применения законодательства о пенсиях, счетных ошибок</w:t>
            </w:r>
            <w:r>
              <w:rPr>
                <w:rFonts w:ascii="Times New Roman" w:hAnsi="Times New Roman"/>
                <w:sz w:val="24"/>
                <w:szCs w:val="24"/>
              </w:rPr>
              <w:t>, переплат, образовавшихся в связи с их неправомерным получением со счета банковской карты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возвратов от доставщиков за прошлые финансовые периоды пенсий, пособий и иных социальных выплат, удержаний; возвратов от физических лиц расходов по доставке пособий на погребение) </w:t>
            </w:r>
            <w:proofErr w:type="gramEnd"/>
          </w:p>
        </w:tc>
      </w:tr>
      <w:tr w:rsidR="00B74763" w:rsidRPr="008A2FCE" w:rsidTr="009D5C9C">
        <w:trPr>
          <w:trHeight w:val="28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C4B">
              <w:rPr>
                <w:rFonts w:ascii="Times New Roman" w:hAnsi="Times New Roman"/>
                <w:sz w:val="24"/>
                <w:szCs w:val="24"/>
              </w:rPr>
              <w:t>392 1 16 10124 01 0200  140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C4B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Пенсионного фонда Российской Федерации по нормативам, действовавшим в 2019 году (иные, за исключением пенсионных накоплений)</w:t>
            </w:r>
          </w:p>
        </w:tc>
      </w:tr>
      <w:tr w:rsidR="00B74763" w:rsidRPr="008A2FCE" w:rsidTr="009D5C9C">
        <w:trPr>
          <w:trHeight w:val="28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392 1 17 06011 06 6000 180</w:t>
            </w:r>
          </w:p>
        </w:tc>
        <w:tc>
          <w:tcPr>
            <w:tcW w:w="2536" w:type="pct"/>
          </w:tcPr>
          <w:p w:rsidR="00B74763" w:rsidRPr="00032644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Прочие неналоговые поступления по накопительной составляющей бюджета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(в части погашения излишне выплаченных сумм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единовременной выплаты средств пенсионных накоплений, срочной пенсионной выплаты, накопительной пенсии)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763" w:rsidRPr="008A2FCE" w:rsidTr="00DE3CE9">
        <w:trPr>
          <w:trHeight w:val="2141"/>
        </w:trPr>
        <w:tc>
          <w:tcPr>
            <w:tcW w:w="1378" w:type="pct"/>
            <w:gridSpan w:val="2"/>
            <w:vMerge w:val="restart"/>
          </w:tcPr>
          <w:p w:rsidR="00B74763" w:rsidRPr="008A2FCE" w:rsidRDefault="00B74763" w:rsidP="0046382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установления социальных выплат</w:t>
            </w: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392 1 13 02996 06 6000 130</w:t>
            </w:r>
          </w:p>
        </w:tc>
        <w:tc>
          <w:tcPr>
            <w:tcW w:w="2536" w:type="pct"/>
          </w:tcPr>
          <w:p w:rsidR="00B74763" w:rsidRPr="00032644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FC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(в части выявленных переплат социальных выплат по вине получателя, погашения выявленных переплат социальных выплат, образовавшихся вследствие неправильного применения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о пособиях, счетных ошибок в размере поступивших сумм</w:t>
            </w:r>
            <w:r>
              <w:rPr>
                <w:rFonts w:ascii="Times New Roman" w:hAnsi="Times New Roman"/>
                <w:sz w:val="24"/>
                <w:szCs w:val="24"/>
              </w:rPr>
              <w:t>, возвратов средств МСК, перечисленных в прошлые финансовые годы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proofErr w:type="gramEnd"/>
          </w:p>
          <w:p w:rsidR="00B74763" w:rsidRPr="00BF19F4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763" w:rsidRPr="008A2FCE" w:rsidTr="009D5C9C">
        <w:trPr>
          <w:trHeight w:val="274"/>
        </w:trPr>
        <w:tc>
          <w:tcPr>
            <w:tcW w:w="1378" w:type="pct"/>
            <w:gridSpan w:val="2"/>
            <w:vMerge/>
          </w:tcPr>
          <w:p w:rsidR="00B74763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392 1 13 02996 06 6010 130</w:t>
            </w:r>
          </w:p>
        </w:tc>
        <w:tc>
          <w:tcPr>
            <w:tcW w:w="2536" w:type="pct"/>
          </w:tcPr>
          <w:p w:rsidR="00B74763" w:rsidRPr="00BF19F4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бюджета Пенсионного фонда Российской Федерации (возврат средств материнского (семейного) капитала, направленных на улучшение жилищных условий, в случае выплаты возмещения публично-правовой компанией по защите прав граждан – участников долевого строительства при несостоятельности (банкротстве) застройщиков или прекращении договора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эскроу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части возмещения дебиторской задолженности прошлых лет)</w:t>
            </w:r>
          </w:p>
          <w:p w:rsidR="00B74763" w:rsidRPr="00BF19F4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763" w:rsidRPr="008A2FCE" w:rsidTr="00DE3CE9">
        <w:trPr>
          <w:trHeight w:val="1422"/>
        </w:trPr>
        <w:tc>
          <w:tcPr>
            <w:tcW w:w="1378" w:type="pct"/>
            <w:gridSpan w:val="2"/>
            <w:vMerge/>
          </w:tcPr>
          <w:p w:rsidR="00B74763" w:rsidRPr="008A2FCE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Default="00B74763" w:rsidP="00EF4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423">
              <w:rPr>
                <w:rFonts w:ascii="Times New Roman" w:hAnsi="Times New Roman" w:cs="Times New Roman"/>
                <w:sz w:val="24"/>
                <w:szCs w:val="24"/>
              </w:rPr>
              <w:t xml:space="preserve">392 2 18 45198 06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957423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:rsidR="00B74763" w:rsidRPr="00715AC3" w:rsidRDefault="00B74763" w:rsidP="00EF46C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pct"/>
          </w:tcPr>
          <w:p w:rsidR="00B74763" w:rsidRPr="00715AC3" w:rsidRDefault="00B74763" w:rsidP="00DD68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423">
              <w:rPr>
                <w:rFonts w:ascii="Times New Roman" w:hAnsi="Times New Roman"/>
                <w:sz w:val="24"/>
                <w:szCs w:val="24"/>
              </w:rPr>
              <w:t>Доходы бюджета Пенсионного фонда Российской Федерации от возврата остатков иных межбюджетных трансфертов на социальную поддержку Героев Социалистического труда,  Героев Труда Российской Федерации и полных кавалеров ордена Трудовой Славы</w:t>
            </w:r>
          </w:p>
        </w:tc>
      </w:tr>
      <w:tr w:rsidR="00B74763" w:rsidRPr="008A2FCE" w:rsidTr="00DE3CE9">
        <w:trPr>
          <w:trHeight w:val="1602"/>
        </w:trPr>
        <w:tc>
          <w:tcPr>
            <w:tcW w:w="1378" w:type="pct"/>
            <w:gridSpan w:val="2"/>
            <w:vMerge/>
          </w:tcPr>
          <w:p w:rsidR="00B74763" w:rsidRPr="008A2FCE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957423" w:rsidRDefault="00B74763" w:rsidP="00EF4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392 2 18 45252 06 0000 150</w:t>
            </w:r>
          </w:p>
        </w:tc>
        <w:tc>
          <w:tcPr>
            <w:tcW w:w="2536" w:type="pct"/>
          </w:tcPr>
          <w:p w:rsidR="00B74763" w:rsidRPr="00F648E7" w:rsidRDefault="00B74763" w:rsidP="0046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423">
              <w:rPr>
                <w:rFonts w:ascii="Times New Roman" w:hAnsi="Times New Roman"/>
                <w:sz w:val="24"/>
                <w:szCs w:val="24"/>
              </w:rPr>
              <w:t>Доходы бюджета Пенсионного фонда Российской Федерации от возврата остатков иных межбюджетных трансфертов на социальную поддержку Героев Советского Союза, Героев Российской Федерации и полных кавалеров ордена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субъектов Российской Федерации</w:t>
            </w:r>
          </w:p>
        </w:tc>
      </w:tr>
      <w:tr w:rsidR="00B74763" w:rsidRPr="008A2FCE" w:rsidTr="00DE3CE9">
        <w:trPr>
          <w:trHeight w:val="1431"/>
        </w:trPr>
        <w:tc>
          <w:tcPr>
            <w:tcW w:w="1378" w:type="pct"/>
            <w:gridSpan w:val="2"/>
            <w:vMerge w:val="restart"/>
          </w:tcPr>
          <w:p w:rsidR="00B74763" w:rsidRPr="008A2FCE" w:rsidRDefault="00B74763" w:rsidP="00FC397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материально-технического обеспечения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392 1 11 05036 06 6000 120</w:t>
            </w:r>
          </w:p>
        </w:tc>
        <w:tc>
          <w:tcPr>
            <w:tcW w:w="2536" w:type="pct"/>
          </w:tcPr>
          <w:p w:rsidR="00B74763" w:rsidRPr="00DE3CE9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74763" w:rsidRPr="008A2FCE" w:rsidTr="009D5C9C">
        <w:trPr>
          <w:trHeight w:val="568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392 1 13 02066 06 6000 130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в связи с эксплуатацией федерального имущества, закрепленного на праве оперативного управления за Пенсионным фондом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74763" w:rsidRPr="008A2FCE" w:rsidTr="009D5C9C">
        <w:trPr>
          <w:trHeight w:val="568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392 1 14 02060 06 6000 410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(в части реализации основных средств по указанному имуществу)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74763" w:rsidRPr="008A2FCE" w:rsidTr="009D5C9C">
        <w:trPr>
          <w:trHeight w:val="693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392 1 14 02060 06 6000 440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(в части реализации материальных запасов по указанному имуществу</w:t>
            </w:r>
            <w:r>
              <w:rPr>
                <w:rFonts w:ascii="Times New Roman" w:hAnsi="Times New Roman"/>
                <w:sz w:val="24"/>
                <w:szCs w:val="24"/>
              </w:rPr>
              <w:t>) (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а также доходов, поступивших от реализации (выкупа) подарка,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полученного работником органа системы ПФР)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74763" w:rsidRPr="008A2FCE" w:rsidTr="009D5C9C">
        <w:trPr>
          <w:trHeight w:val="568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3C2BF6" w:rsidRDefault="00B74763" w:rsidP="00FC39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BF6">
              <w:rPr>
                <w:rFonts w:ascii="Times New Roman" w:hAnsi="Times New Roman"/>
                <w:sz w:val="24"/>
                <w:szCs w:val="24"/>
              </w:rPr>
              <w:t xml:space="preserve">392 1 16 10111 06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2BF6">
              <w:rPr>
                <w:rFonts w:ascii="Times New Roman" w:hAnsi="Times New Roman"/>
                <w:sz w:val="24"/>
                <w:szCs w:val="24"/>
              </w:rPr>
              <w:t>000 140</w:t>
            </w:r>
          </w:p>
        </w:tc>
        <w:tc>
          <w:tcPr>
            <w:tcW w:w="2536" w:type="pct"/>
          </w:tcPr>
          <w:p w:rsidR="00B74763" w:rsidRPr="003C2BF6" w:rsidRDefault="00B74763" w:rsidP="009964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BF6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Пенсионного фонда Российской Федерации</w:t>
            </w:r>
          </w:p>
        </w:tc>
      </w:tr>
      <w:tr w:rsidR="00B74763" w:rsidRPr="008A2FCE" w:rsidTr="0038417D">
        <w:trPr>
          <w:trHeight w:val="1219"/>
        </w:trPr>
        <w:tc>
          <w:tcPr>
            <w:tcW w:w="1378" w:type="pct"/>
            <w:gridSpan w:val="2"/>
            <w:vMerge/>
            <w:tcBorders>
              <w:bottom w:val="nil"/>
            </w:tcBorders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3C2BF6" w:rsidRDefault="00B74763" w:rsidP="00FC39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BF6">
              <w:rPr>
                <w:rFonts w:ascii="Times New Roman" w:hAnsi="Times New Roman"/>
                <w:sz w:val="24"/>
                <w:szCs w:val="24"/>
              </w:rPr>
              <w:t xml:space="preserve">392 1 16 10112 06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C2BF6">
              <w:rPr>
                <w:rFonts w:ascii="Times New Roman" w:hAnsi="Times New Roman"/>
                <w:sz w:val="24"/>
                <w:szCs w:val="24"/>
              </w:rPr>
              <w:t>000 140</w:t>
            </w:r>
          </w:p>
        </w:tc>
        <w:tc>
          <w:tcPr>
            <w:tcW w:w="2536" w:type="pct"/>
          </w:tcPr>
          <w:p w:rsidR="00B74763" w:rsidRPr="003C2BF6" w:rsidRDefault="00B74763" w:rsidP="009964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BF6">
              <w:rPr>
                <w:rFonts w:ascii="Times New Roman" w:hAnsi="Times New Roman"/>
                <w:sz w:val="24"/>
                <w:szCs w:val="24"/>
              </w:rPr>
              <w:t xml:space="preserve">Прочее возмещение ущерба, причиненного федеральному имуществу, находящемуся во владении и пользовании Пенсионного фонда Российской Федерации, зачисляемое в бюджет Пенсионного фонда Российской Федерации </w:t>
            </w:r>
          </w:p>
        </w:tc>
      </w:tr>
      <w:tr w:rsidR="00B74763" w:rsidRPr="008A2FCE" w:rsidTr="00DD68DA">
        <w:trPr>
          <w:trHeight w:val="523"/>
        </w:trPr>
        <w:tc>
          <w:tcPr>
            <w:tcW w:w="1378" w:type="pct"/>
            <w:gridSpan w:val="2"/>
            <w:tcBorders>
              <w:top w:val="nil"/>
            </w:tcBorders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3C2BF6" w:rsidRDefault="00B74763" w:rsidP="00FC39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4B">
              <w:rPr>
                <w:rFonts w:ascii="Times New Roman" w:hAnsi="Times New Roman"/>
                <w:sz w:val="24"/>
                <w:szCs w:val="24"/>
              </w:rPr>
              <w:t>392 1 16 10124 01 0200  140</w:t>
            </w:r>
          </w:p>
        </w:tc>
        <w:tc>
          <w:tcPr>
            <w:tcW w:w="2536" w:type="pct"/>
          </w:tcPr>
          <w:p w:rsidR="00B74763" w:rsidRPr="003C2BF6" w:rsidRDefault="00B74763" w:rsidP="009964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C4B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Пенсионного фонда Российской Федерации по нормативам, действовавшим в 2019 году (иные, за исключением пенсионных накоплений)</w:t>
            </w:r>
          </w:p>
        </w:tc>
      </w:tr>
      <w:tr w:rsidR="00B74763" w:rsidRPr="008A2FCE" w:rsidTr="009D5C9C">
        <w:trPr>
          <w:trHeight w:val="551"/>
        </w:trPr>
        <w:tc>
          <w:tcPr>
            <w:tcW w:w="1378" w:type="pct"/>
            <w:gridSpan w:val="2"/>
            <w:vMerge w:val="restart"/>
          </w:tcPr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казначейства </w:t>
            </w: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74763" w:rsidRPr="008A2FCE" w:rsidRDefault="00B74763" w:rsidP="00FC3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lastRenderedPageBreak/>
              <w:t>392 1 11 09046 06 6000 120</w:t>
            </w:r>
          </w:p>
        </w:tc>
        <w:tc>
          <w:tcPr>
            <w:tcW w:w="2536" w:type="pct"/>
          </w:tcPr>
          <w:p w:rsidR="00B74763" w:rsidRPr="00BF19F4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в оперативном управлении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74763" w:rsidRPr="008A2FCE" w:rsidTr="009D5C9C">
        <w:trPr>
          <w:trHeight w:val="623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392 1 13 02996 06 6000 130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бюджета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(в части: возврата дебиторской задолженности прошлых лет; средств, поступающих от реализации трудовых книжек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и вкладышей к ним; выявления нарушений по нецелевому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(неправомерному, незаконному) использованию бюджетных средств</w:t>
            </w:r>
            <w:r w:rsidRPr="00EA73BA">
              <w:rPr>
                <w:rFonts w:ascii="Times New Roman" w:hAnsi="Times New Roman"/>
                <w:sz w:val="24"/>
                <w:szCs w:val="24"/>
              </w:rPr>
              <w:t>;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компенсации ущерба, возникшего в ходе выполнения хозяйственных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функций: по суммам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бывших работников перед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учреждением за неотработанные дни отпуска при их увольнении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до окончания того рабочего года, в счет которого они уже получили ежегодный оплачиваемый отпуск; по суммам задолженности подотчетных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лиц, своевременно не возвращенной (не удержанной из заработной платы)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74763" w:rsidRPr="008A2FCE" w:rsidTr="009D5C9C">
        <w:trPr>
          <w:trHeight w:val="623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BD10FC" w:rsidRDefault="00B74763" w:rsidP="00C44FF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392 1 16 07010 06 0</w:t>
            </w:r>
            <w:r w:rsidRPr="00BD10FC">
              <w:rPr>
                <w:rFonts w:ascii="Times New Roman" w:hAnsi="Times New Roman"/>
                <w:sz w:val="24"/>
                <w:szCs w:val="24"/>
              </w:rPr>
              <w:t>000 140</w:t>
            </w:r>
          </w:p>
        </w:tc>
        <w:tc>
          <w:tcPr>
            <w:tcW w:w="2536" w:type="pct"/>
          </w:tcPr>
          <w:p w:rsidR="00B74763" w:rsidRDefault="00B74763" w:rsidP="00C44FF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FC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Пенсионным фондом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763" w:rsidRPr="00BD10FC" w:rsidRDefault="00B74763" w:rsidP="00C44FF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763" w:rsidRPr="008A2FCE" w:rsidTr="009D5C9C">
        <w:trPr>
          <w:trHeight w:val="623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FC3970" w:rsidRDefault="00B74763" w:rsidP="0099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970">
              <w:rPr>
                <w:rFonts w:ascii="Times New Roman" w:hAnsi="Times New Roman" w:cs="Times New Roman"/>
                <w:sz w:val="24"/>
                <w:szCs w:val="24"/>
              </w:rPr>
              <w:t>392 1 16 08020 06 0000 140</w:t>
            </w:r>
          </w:p>
        </w:tc>
        <w:tc>
          <w:tcPr>
            <w:tcW w:w="2536" w:type="pct"/>
          </w:tcPr>
          <w:p w:rsidR="00B74763" w:rsidRDefault="00B74763" w:rsidP="0099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970">
              <w:rPr>
                <w:rFonts w:ascii="Times New Roman" w:hAnsi="Times New Roman" w:cs="Times New Roman"/>
                <w:sz w:val="24"/>
                <w:szCs w:val="24"/>
              </w:rPr>
              <w:t>Денежные средства, обращенные в собственность государства на основании обвинительных приговоров судов по делам о преступлениях коррупционной направленности, подлежащие зачислению в  бюджет Пенсионного фонда Российской Федерации</w:t>
            </w:r>
          </w:p>
          <w:p w:rsidR="00B74763" w:rsidRPr="00FC3970" w:rsidRDefault="00B74763" w:rsidP="0099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63" w:rsidRPr="008A2FCE" w:rsidTr="009D5C9C">
        <w:trPr>
          <w:trHeight w:val="623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FC3970" w:rsidRDefault="00B74763" w:rsidP="00FC3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970">
              <w:rPr>
                <w:rFonts w:ascii="Times New Roman" w:hAnsi="Times New Roman" w:cs="Times New Roman"/>
                <w:sz w:val="24"/>
                <w:szCs w:val="24"/>
              </w:rPr>
              <w:t>392 1 16 09020 06 0000 140</w:t>
            </w:r>
          </w:p>
        </w:tc>
        <w:tc>
          <w:tcPr>
            <w:tcW w:w="2536" w:type="pct"/>
          </w:tcPr>
          <w:p w:rsidR="00B74763" w:rsidRPr="00FC3970" w:rsidRDefault="00B74763" w:rsidP="00996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97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средства, изымаемые в собственность Российской Федерации в соответствии с решениями судов (за исключением обвинительных приговоров судов), в отношении которых не представлены в соответствии с законодательством Российской </w:t>
            </w:r>
            <w:r w:rsidRPr="00FC3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о противодействии коррупции доказательства их законного получения, подлежащие зачислению в  бюджет Пенсионного фонда Российской Федерации  </w:t>
            </w:r>
          </w:p>
        </w:tc>
      </w:tr>
      <w:tr w:rsidR="00B74763" w:rsidRPr="008A2FCE" w:rsidTr="009D5C9C">
        <w:trPr>
          <w:trHeight w:val="623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BD10FC" w:rsidRDefault="00B74763" w:rsidP="00C44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C">
              <w:rPr>
                <w:rFonts w:ascii="Times New Roman" w:hAnsi="Times New Roman" w:cs="Times New Roman"/>
                <w:sz w:val="24"/>
                <w:szCs w:val="24"/>
              </w:rPr>
              <w:t xml:space="preserve">392 1 16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10053 06 0</w:t>
            </w:r>
            <w:r w:rsidRPr="00BD10FC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2536" w:type="pct"/>
          </w:tcPr>
          <w:p w:rsidR="00B74763" w:rsidRDefault="00B74763" w:rsidP="00C4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Пенсионным фондом Российской Федерации государственного контракта, а также иные денежные средства, подлежащие зачислению в бюджет  Пенсионного фонда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B74763" w:rsidRPr="00BD10FC" w:rsidRDefault="00B74763" w:rsidP="00C4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63" w:rsidRPr="008A2FCE" w:rsidTr="009D5C9C">
        <w:trPr>
          <w:trHeight w:val="623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BD10FC" w:rsidRDefault="00B74763" w:rsidP="00C44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392 1 16 10073 06 0</w:t>
            </w:r>
            <w:r w:rsidRPr="00BD10FC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2536" w:type="pct"/>
          </w:tcPr>
          <w:p w:rsidR="00B74763" w:rsidRPr="00F648E7" w:rsidRDefault="00B74763" w:rsidP="00C4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10F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ущерба, при расторжении государственного контракта, заключенного с Пенсионным фондом Российской Федерации, в связи с односторонним отказом исполнителя (подрядчика) от его исполнения</w:t>
            </w:r>
          </w:p>
          <w:p w:rsidR="00B74763" w:rsidRPr="00F648E7" w:rsidRDefault="00B74763" w:rsidP="00C44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63" w:rsidRPr="008A2FCE" w:rsidTr="009D5C9C">
        <w:trPr>
          <w:trHeight w:val="623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437F9D" w:rsidRDefault="00B74763" w:rsidP="0079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9D">
              <w:rPr>
                <w:rFonts w:ascii="Times New Roman" w:hAnsi="Times New Roman"/>
                <w:sz w:val="24"/>
                <w:szCs w:val="24"/>
              </w:rPr>
              <w:t>392 1 16 10100 06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437F9D">
              <w:rPr>
                <w:rFonts w:ascii="Times New Roman" w:hAnsi="Times New Roman"/>
                <w:sz w:val="24"/>
                <w:szCs w:val="24"/>
              </w:rPr>
              <w:t>000 140</w:t>
            </w:r>
          </w:p>
        </w:tc>
        <w:tc>
          <w:tcPr>
            <w:tcW w:w="2536" w:type="pct"/>
          </w:tcPr>
          <w:p w:rsidR="00B74763" w:rsidRPr="00437F9D" w:rsidRDefault="00B74763" w:rsidP="00791D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9D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бюджета Пенсионного фонда Российской Федерации)</w:t>
            </w:r>
          </w:p>
        </w:tc>
      </w:tr>
      <w:tr w:rsidR="00B74763" w:rsidRPr="008A2FCE" w:rsidTr="009D5C9C">
        <w:trPr>
          <w:trHeight w:val="623"/>
        </w:trPr>
        <w:tc>
          <w:tcPr>
            <w:tcW w:w="1378" w:type="pct"/>
            <w:gridSpan w:val="2"/>
            <w:vMerge/>
            <w:vAlign w:val="center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FC3970" w:rsidRDefault="00B74763" w:rsidP="00434A8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70">
              <w:rPr>
                <w:rFonts w:ascii="Times New Roman" w:hAnsi="Times New Roman"/>
                <w:sz w:val="24"/>
                <w:szCs w:val="24"/>
              </w:rPr>
              <w:t>392 1 16 10112 06 0000 140</w:t>
            </w:r>
          </w:p>
        </w:tc>
        <w:tc>
          <w:tcPr>
            <w:tcW w:w="2536" w:type="pct"/>
          </w:tcPr>
          <w:p w:rsidR="00B74763" w:rsidRPr="00FC3970" w:rsidRDefault="00B74763" w:rsidP="00434A8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970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федеральному имуществу, находящемуся во владении и пользовании Пенсионного фонда Российской Федерации, зачисляемое в бюджет Пенсионного фонда Российской Федерации</w:t>
            </w:r>
          </w:p>
        </w:tc>
      </w:tr>
      <w:tr w:rsidR="00B74763" w:rsidRPr="008A2FCE" w:rsidTr="009D5C9C">
        <w:trPr>
          <w:trHeight w:val="905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AF4">
              <w:rPr>
                <w:rFonts w:ascii="Times New Roman" w:hAnsi="Times New Roman"/>
                <w:sz w:val="24"/>
                <w:szCs w:val="24"/>
              </w:rPr>
              <w:t>392 1 16 10124 01 0200  140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AF4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Пенсионного фонда Российской Федерации по нормативам, действовавшим в 2019 году (иные, за исключением пенсионных накоплений)</w:t>
            </w:r>
          </w:p>
        </w:tc>
      </w:tr>
      <w:tr w:rsidR="00B74763" w:rsidRPr="008A2FCE" w:rsidTr="009D5C9C">
        <w:trPr>
          <w:trHeight w:val="754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392 1 17 01060 06 6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>00 180</w:t>
            </w:r>
          </w:p>
        </w:tc>
        <w:tc>
          <w:tcPr>
            <w:tcW w:w="2536" w:type="pct"/>
          </w:tcPr>
          <w:p w:rsidR="00B74763" w:rsidRPr="00F648E7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 Пенсионного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поступления на соответствующие счета территориальных органов Пенсионного фонда Российской Федерации)</w:t>
            </w:r>
          </w:p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763" w:rsidRPr="008A2FCE" w:rsidTr="009D5C9C">
        <w:trPr>
          <w:trHeight w:val="28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392 1 17 06011 06 6000 180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Прочие неналоговые поступления по накопительной составляющей бюджета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74763" w:rsidRPr="008A2FCE" w:rsidTr="009D5C9C">
        <w:trPr>
          <w:trHeight w:val="137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392 1 17 06012 06 6000 180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Прочие неналоговые поступления по распределительной составляющей бюджета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74763" w:rsidRPr="008A2FCE" w:rsidTr="009D5C9C">
        <w:trPr>
          <w:trHeight w:val="137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392 2 08 06000 06 6201 150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Перечисления из бюджета Пенсионного фонда Российской Федерации (в бюджет Пенсионного фонда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(страховые взносы на финансирование страховой пенсии в Межрегиональном операционном управлении Федерального казначейства)</w:t>
            </w:r>
            <w:proofErr w:type="gramEnd"/>
          </w:p>
        </w:tc>
      </w:tr>
      <w:tr w:rsidR="00B74763" w:rsidRPr="008A2FCE" w:rsidTr="009D5C9C">
        <w:trPr>
          <w:trHeight w:val="137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392 2 08 06000 06 6202 150</w:t>
            </w:r>
          </w:p>
        </w:tc>
        <w:tc>
          <w:tcPr>
            <w:tcW w:w="2536" w:type="pct"/>
          </w:tcPr>
          <w:p w:rsidR="00B74763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бюджета Пенсионного фонда Российской Федерации (в бюджет Пенсионного фонда Российской Федерации) для осуществления возврата (зачета) излишне уплаченных или излишне взысканных сумм налогов, сборов и иных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платежей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также сумм процентов за несвоевременное осуществление такого возврата и процентов, начисленных на излишне взысканные суммы (страховые взносы на финансирование страховой пенсии в управлении Федерального казначейства по субъекту Российской Федерации)</w:t>
            </w:r>
          </w:p>
        </w:tc>
      </w:tr>
      <w:tr w:rsidR="00B74763" w:rsidRPr="008A2FCE" w:rsidTr="009D5C9C">
        <w:trPr>
          <w:trHeight w:val="283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463820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392 2 18 71000 06 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2536" w:type="pct"/>
          </w:tcPr>
          <w:p w:rsidR="00B74763" w:rsidRPr="008A2FCE" w:rsidRDefault="00B74763" w:rsidP="00463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Доходы бюджета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возврата остатков прочих субсидий, субвенций и иных межбюджетных трансфертов, имеющих целевое назначение,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lastRenderedPageBreak/>
              <w:t>прошлых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4763" w:rsidRPr="008A2FCE" w:rsidTr="009D5C9C">
        <w:trPr>
          <w:trHeight w:val="1722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112E4F" w:rsidRDefault="00B74763" w:rsidP="009964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4F">
              <w:rPr>
                <w:rFonts w:ascii="Times New Roman" w:hAnsi="Times New Roman"/>
                <w:sz w:val="24"/>
                <w:szCs w:val="24"/>
              </w:rPr>
              <w:t>392 2 19 52900 06 0000 150</w:t>
            </w:r>
          </w:p>
        </w:tc>
        <w:tc>
          <w:tcPr>
            <w:tcW w:w="2536" w:type="pct"/>
          </w:tcPr>
          <w:p w:rsidR="00B74763" w:rsidRPr="00112E4F" w:rsidRDefault="00B74763" w:rsidP="009964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E4F">
              <w:rPr>
                <w:rFonts w:ascii="Times New Roman" w:hAnsi="Times New Roman"/>
                <w:sz w:val="24"/>
                <w:szCs w:val="24"/>
              </w:rPr>
              <w:t>Возврат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 из бюджета Пенсионного фонда Российской Федерации в бюджеты субъектов Российской Федерации</w:t>
            </w:r>
          </w:p>
        </w:tc>
      </w:tr>
      <w:tr w:rsidR="00B74763" w:rsidRPr="008A2FCE" w:rsidTr="009D5C9C">
        <w:trPr>
          <w:trHeight w:val="1267"/>
        </w:trPr>
        <w:tc>
          <w:tcPr>
            <w:tcW w:w="1378" w:type="pct"/>
            <w:gridSpan w:val="2"/>
            <w:vMerge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>392 2 19 71020 06 0000 150</w:t>
            </w:r>
          </w:p>
        </w:tc>
        <w:tc>
          <w:tcPr>
            <w:tcW w:w="2536" w:type="pct"/>
          </w:tcPr>
          <w:p w:rsidR="00B74763" w:rsidRPr="008A2FCE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из бюджета Пенсионного фонда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в бюджеты субъектов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</w:tr>
      <w:tr w:rsidR="00B74763" w:rsidRPr="008A2FCE" w:rsidTr="00941EA0">
        <w:trPr>
          <w:trHeight w:val="70"/>
        </w:trPr>
        <w:tc>
          <w:tcPr>
            <w:tcW w:w="1378" w:type="pct"/>
            <w:gridSpan w:val="2"/>
            <w:vMerge w:val="restart"/>
          </w:tcPr>
          <w:p w:rsidR="00B74763" w:rsidRPr="008A2FCE" w:rsidRDefault="00B74763" w:rsidP="00957423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FCE">
              <w:rPr>
                <w:rFonts w:ascii="Times New Roman" w:hAnsi="Times New Roman"/>
                <w:sz w:val="24"/>
                <w:szCs w:val="24"/>
              </w:rPr>
              <w:t xml:space="preserve">Бюджетный отдел </w:t>
            </w:r>
          </w:p>
        </w:tc>
        <w:tc>
          <w:tcPr>
            <w:tcW w:w="1086" w:type="pct"/>
          </w:tcPr>
          <w:p w:rsidR="00B74763" w:rsidRPr="008A2FCE" w:rsidRDefault="00B74763" w:rsidP="00C44FFB">
            <w:pPr>
              <w:rPr>
                <w:rFonts w:ascii="Times New Roman" w:hAnsi="Times New Roman"/>
                <w:sz w:val="24"/>
                <w:szCs w:val="24"/>
              </w:rPr>
            </w:pPr>
            <w:r w:rsidRPr="00DF22C4">
              <w:rPr>
                <w:rFonts w:ascii="Times New Roman" w:hAnsi="Times New Roman"/>
                <w:sz w:val="24"/>
                <w:szCs w:val="24"/>
              </w:rPr>
              <w:t xml:space="preserve">392 2 18 25209 06 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  <w:r w:rsidRPr="00DF22C4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2536" w:type="pct"/>
          </w:tcPr>
          <w:p w:rsidR="00B74763" w:rsidRPr="008A2FCE" w:rsidRDefault="00B74763" w:rsidP="00A863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94C">
              <w:rPr>
                <w:rFonts w:ascii="Times New Roman" w:hAnsi="Times New Roman"/>
                <w:sz w:val="24"/>
                <w:szCs w:val="24"/>
              </w:rPr>
              <w:t xml:space="preserve">Доходы бюджета Пенсионного фонда Российской Федерации от возврата остатков субсидий прошлых лет на </w:t>
            </w:r>
            <w:proofErr w:type="spellStart"/>
            <w:r w:rsidRPr="005E394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E394C">
              <w:rPr>
                <w:rFonts w:ascii="Times New Roman" w:hAnsi="Times New Roman"/>
                <w:sz w:val="24"/>
                <w:szCs w:val="24"/>
              </w:rPr>
              <w:t xml:space="preserve">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 </w:t>
            </w:r>
          </w:p>
        </w:tc>
      </w:tr>
      <w:tr w:rsidR="00B74763" w:rsidRPr="008A2FCE" w:rsidTr="00DE3CE9">
        <w:trPr>
          <w:trHeight w:val="2144"/>
        </w:trPr>
        <w:tc>
          <w:tcPr>
            <w:tcW w:w="1378" w:type="pct"/>
            <w:gridSpan w:val="2"/>
            <w:vMerge/>
          </w:tcPr>
          <w:p w:rsidR="00B74763" w:rsidRPr="008A2FCE" w:rsidRDefault="00B74763" w:rsidP="00957423">
            <w:pPr>
              <w:tabs>
                <w:tab w:val="left" w:pos="20900"/>
                <w:tab w:val="left" w:pos="2101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957423" w:rsidRDefault="00B74763" w:rsidP="00C44FF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23">
              <w:rPr>
                <w:rFonts w:ascii="Times New Roman" w:hAnsi="Times New Roman"/>
                <w:sz w:val="24"/>
                <w:szCs w:val="24"/>
              </w:rPr>
              <w:t>392 2 19 55209 06 0000 150</w:t>
            </w:r>
          </w:p>
        </w:tc>
        <w:tc>
          <w:tcPr>
            <w:tcW w:w="2536" w:type="pct"/>
          </w:tcPr>
          <w:p w:rsidR="00B74763" w:rsidRPr="00F648E7" w:rsidRDefault="00B74763" w:rsidP="00C44FF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423">
              <w:rPr>
                <w:rFonts w:ascii="Times New Roman" w:hAnsi="Times New Roman"/>
                <w:sz w:val="24"/>
                <w:szCs w:val="24"/>
              </w:rPr>
              <w:t xml:space="preserve">Возврат остатков межбюджетных трансфертов на </w:t>
            </w:r>
            <w:proofErr w:type="spellStart"/>
            <w:r w:rsidRPr="0095742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57423">
              <w:rPr>
                <w:rFonts w:ascii="Times New Roman" w:hAnsi="Times New Roman"/>
                <w:sz w:val="24"/>
                <w:szCs w:val="24"/>
              </w:rPr>
              <w:t xml:space="preserve">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715AC3">
              <w:rPr>
                <w:rFonts w:ascii="Times New Roman" w:hAnsi="Times New Roman"/>
                <w:sz w:val="24"/>
                <w:szCs w:val="24"/>
              </w:rPr>
              <w:t>бюджета Пенсионного фонда Российской Федерации</w:t>
            </w:r>
          </w:p>
        </w:tc>
      </w:tr>
      <w:tr w:rsidR="00B74763" w:rsidRPr="008A2FCE" w:rsidTr="009D5C9C">
        <w:trPr>
          <w:trHeight w:val="896"/>
        </w:trPr>
        <w:tc>
          <w:tcPr>
            <w:tcW w:w="1378" w:type="pct"/>
            <w:gridSpan w:val="2"/>
            <w:vMerge w:val="restart"/>
          </w:tcPr>
          <w:p w:rsidR="00B74763" w:rsidRPr="00DF22C4" w:rsidRDefault="00B74763" w:rsidP="00BD10FC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 </w:t>
            </w:r>
          </w:p>
        </w:tc>
        <w:tc>
          <w:tcPr>
            <w:tcW w:w="1086" w:type="pct"/>
          </w:tcPr>
          <w:p w:rsidR="00B74763" w:rsidRPr="00715AC3" w:rsidRDefault="00B74763" w:rsidP="009964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C3">
              <w:rPr>
                <w:rFonts w:ascii="Times New Roman" w:hAnsi="Times New Roman"/>
                <w:sz w:val="24"/>
                <w:szCs w:val="24"/>
              </w:rPr>
              <w:t>392 1 13 02996 06 6000 130</w:t>
            </w:r>
          </w:p>
        </w:tc>
        <w:tc>
          <w:tcPr>
            <w:tcW w:w="2536" w:type="pct"/>
          </w:tcPr>
          <w:p w:rsidR="00B74763" w:rsidRPr="00BF19F4" w:rsidRDefault="00B74763" w:rsidP="00D72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C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бюджета Пенсионного фонда Российской Федерации (в части средств, получаемых по возмещению расходов по государственной пошлине и судебным издержкам)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B74763" w:rsidRPr="008A2FCE" w:rsidTr="009D5C9C">
        <w:trPr>
          <w:trHeight w:val="896"/>
        </w:trPr>
        <w:tc>
          <w:tcPr>
            <w:tcW w:w="1378" w:type="pct"/>
            <w:gridSpan w:val="2"/>
            <w:vMerge/>
            <w:tcBorders>
              <w:bottom w:val="nil"/>
            </w:tcBorders>
          </w:tcPr>
          <w:p w:rsidR="00B74763" w:rsidRPr="00DF22C4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BD10FC" w:rsidRDefault="00B74763" w:rsidP="00BD10FC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FC">
              <w:rPr>
                <w:rFonts w:ascii="Times New Roman" w:hAnsi="Times New Roman"/>
                <w:sz w:val="24"/>
                <w:szCs w:val="24"/>
              </w:rPr>
              <w:t>392 1 16 10073 06 0000 140</w:t>
            </w:r>
          </w:p>
        </w:tc>
        <w:tc>
          <w:tcPr>
            <w:tcW w:w="2536" w:type="pct"/>
          </w:tcPr>
          <w:p w:rsidR="00B74763" w:rsidRPr="00BD10FC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FC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ущерба, при расторжении государственного контракта, заключенного с Пенсионным фондом Российской Федерации, в связи с односторонним отказом исполнителя (под</w:t>
            </w:r>
            <w:bookmarkStart w:id="0" w:name="_GoBack"/>
            <w:bookmarkEnd w:id="0"/>
            <w:r w:rsidRPr="00BD10FC">
              <w:rPr>
                <w:rFonts w:ascii="Times New Roman" w:hAnsi="Times New Roman"/>
                <w:sz w:val="24"/>
                <w:szCs w:val="24"/>
              </w:rPr>
              <w:t>рядчика) от его исполнения</w:t>
            </w:r>
          </w:p>
        </w:tc>
      </w:tr>
      <w:tr w:rsidR="00B74763" w:rsidRPr="008A2FCE" w:rsidTr="00AD77B9">
        <w:trPr>
          <w:trHeight w:val="1407"/>
        </w:trPr>
        <w:tc>
          <w:tcPr>
            <w:tcW w:w="1378" w:type="pct"/>
            <w:gridSpan w:val="2"/>
            <w:tcBorders>
              <w:top w:val="nil"/>
            </w:tcBorders>
          </w:tcPr>
          <w:p w:rsidR="00B74763" w:rsidRPr="00DF22C4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B74763" w:rsidRPr="00BD10FC" w:rsidRDefault="00B74763" w:rsidP="00BD10FC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5E6">
              <w:rPr>
                <w:rFonts w:ascii="Times New Roman" w:hAnsi="Times New Roman"/>
                <w:sz w:val="24"/>
                <w:szCs w:val="24"/>
              </w:rPr>
              <w:t>392 1 16 10124 01 0200  140</w:t>
            </w:r>
          </w:p>
        </w:tc>
        <w:tc>
          <w:tcPr>
            <w:tcW w:w="2536" w:type="pct"/>
          </w:tcPr>
          <w:p w:rsidR="00B74763" w:rsidRPr="00BD10FC" w:rsidRDefault="00B74763" w:rsidP="0099640B">
            <w:pPr>
              <w:tabs>
                <w:tab w:val="left" w:pos="20900"/>
                <w:tab w:val="left" w:pos="210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5E6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Пенсионного фонда Российской Федерации по нормативам, действовавшим в 2019 году (иные, за исключением пенсионных накоплений)</w:t>
            </w:r>
          </w:p>
        </w:tc>
      </w:tr>
    </w:tbl>
    <w:p w:rsidR="00B74763" w:rsidRDefault="00B74763"/>
    <w:sectPr w:rsidR="00B74763" w:rsidSect="00DA35E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17"/>
    <w:rsid w:val="00032644"/>
    <w:rsid w:val="00071B6F"/>
    <w:rsid w:val="00086362"/>
    <w:rsid w:val="000A0974"/>
    <w:rsid w:val="000B38A7"/>
    <w:rsid w:val="000B399A"/>
    <w:rsid w:val="000B5DC8"/>
    <w:rsid w:val="000C3450"/>
    <w:rsid w:val="000E3240"/>
    <w:rsid w:val="00103E8E"/>
    <w:rsid w:val="00107161"/>
    <w:rsid w:val="00112E4F"/>
    <w:rsid w:val="00141DFF"/>
    <w:rsid w:val="00147510"/>
    <w:rsid w:val="0015283D"/>
    <w:rsid w:val="00167E76"/>
    <w:rsid w:val="001C21C9"/>
    <w:rsid w:val="001D0B72"/>
    <w:rsid w:val="00222767"/>
    <w:rsid w:val="00227F09"/>
    <w:rsid w:val="002738DF"/>
    <w:rsid w:val="002A7703"/>
    <w:rsid w:val="002E6437"/>
    <w:rsid w:val="00316D75"/>
    <w:rsid w:val="00317AAD"/>
    <w:rsid w:val="00322ED8"/>
    <w:rsid w:val="00324255"/>
    <w:rsid w:val="00370194"/>
    <w:rsid w:val="00374E34"/>
    <w:rsid w:val="0038417D"/>
    <w:rsid w:val="00391960"/>
    <w:rsid w:val="003C2AFB"/>
    <w:rsid w:val="003C2BF6"/>
    <w:rsid w:val="003E4CDB"/>
    <w:rsid w:val="003F14B6"/>
    <w:rsid w:val="00434A80"/>
    <w:rsid w:val="00437F9D"/>
    <w:rsid w:val="0044269B"/>
    <w:rsid w:val="00462FD5"/>
    <w:rsid w:val="00463820"/>
    <w:rsid w:val="004967BB"/>
    <w:rsid w:val="004A7E58"/>
    <w:rsid w:val="004B5D33"/>
    <w:rsid w:val="004B6CE3"/>
    <w:rsid w:val="004C0063"/>
    <w:rsid w:val="004C26AF"/>
    <w:rsid w:val="00502AF0"/>
    <w:rsid w:val="005148C8"/>
    <w:rsid w:val="00523654"/>
    <w:rsid w:val="005301FA"/>
    <w:rsid w:val="005B2FB6"/>
    <w:rsid w:val="005B7FA2"/>
    <w:rsid w:val="005E394C"/>
    <w:rsid w:val="005F4A75"/>
    <w:rsid w:val="0065717D"/>
    <w:rsid w:val="00690366"/>
    <w:rsid w:val="006A6A42"/>
    <w:rsid w:val="006F4379"/>
    <w:rsid w:val="0070102D"/>
    <w:rsid w:val="0071251F"/>
    <w:rsid w:val="00715AC3"/>
    <w:rsid w:val="00724AAB"/>
    <w:rsid w:val="0076660B"/>
    <w:rsid w:val="00791DAE"/>
    <w:rsid w:val="00797CEA"/>
    <w:rsid w:val="007A0002"/>
    <w:rsid w:val="007A7081"/>
    <w:rsid w:val="007A7FA5"/>
    <w:rsid w:val="007E3124"/>
    <w:rsid w:val="007F4F7A"/>
    <w:rsid w:val="00847E17"/>
    <w:rsid w:val="008615AC"/>
    <w:rsid w:val="00862E6A"/>
    <w:rsid w:val="00886298"/>
    <w:rsid w:val="008A1B63"/>
    <w:rsid w:val="008A2FCE"/>
    <w:rsid w:val="008B4E4C"/>
    <w:rsid w:val="008C0E72"/>
    <w:rsid w:val="00924D0C"/>
    <w:rsid w:val="00933B88"/>
    <w:rsid w:val="00941EA0"/>
    <w:rsid w:val="00957423"/>
    <w:rsid w:val="00985D65"/>
    <w:rsid w:val="0099640B"/>
    <w:rsid w:val="009A7765"/>
    <w:rsid w:val="009C6DF6"/>
    <w:rsid w:val="009D5C9C"/>
    <w:rsid w:val="009E3030"/>
    <w:rsid w:val="009E6CBD"/>
    <w:rsid w:val="009F69CC"/>
    <w:rsid w:val="00A04E3D"/>
    <w:rsid w:val="00A3256A"/>
    <w:rsid w:val="00A32C92"/>
    <w:rsid w:val="00A62CCD"/>
    <w:rsid w:val="00A86355"/>
    <w:rsid w:val="00AA1EF6"/>
    <w:rsid w:val="00AC0BD1"/>
    <w:rsid w:val="00AC59C6"/>
    <w:rsid w:val="00AD77B9"/>
    <w:rsid w:val="00AE5FAA"/>
    <w:rsid w:val="00AF402E"/>
    <w:rsid w:val="00B0493E"/>
    <w:rsid w:val="00B15520"/>
    <w:rsid w:val="00B23AF4"/>
    <w:rsid w:val="00B275E6"/>
    <w:rsid w:val="00B37528"/>
    <w:rsid w:val="00B42088"/>
    <w:rsid w:val="00B63A52"/>
    <w:rsid w:val="00B70141"/>
    <w:rsid w:val="00B70C4B"/>
    <w:rsid w:val="00B71DC7"/>
    <w:rsid w:val="00B74763"/>
    <w:rsid w:val="00B7650E"/>
    <w:rsid w:val="00BC610A"/>
    <w:rsid w:val="00BD10FC"/>
    <w:rsid w:val="00BE432C"/>
    <w:rsid w:val="00BF19F4"/>
    <w:rsid w:val="00BF3311"/>
    <w:rsid w:val="00BF4E1B"/>
    <w:rsid w:val="00BF5189"/>
    <w:rsid w:val="00C40C1E"/>
    <w:rsid w:val="00C44FFB"/>
    <w:rsid w:val="00C50F9D"/>
    <w:rsid w:val="00C57C50"/>
    <w:rsid w:val="00CD2655"/>
    <w:rsid w:val="00CD401F"/>
    <w:rsid w:val="00D25465"/>
    <w:rsid w:val="00D53E98"/>
    <w:rsid w:val="00D541DC"/>
    <w:rsid w:val="00D725C6"/>
    <w:rsid w:val="00DA35EE"/>
    <w:rsid w:val="00DD68DA"/>
    <w:rsid w:val="00DE3CE9"/>
    <w:rsid w:val="00DF22C4"/>
    <w:rsid w:val="00E3465F"/>
    <w:rsid w:val="00E462A5"/>
    <w:rsid w:val="00E53F70"/>
    <w:rsid w:val="00E55EA1"/>
    <w:rsid w:val="00EA73BA"/>
    <w:rsid w:val="00EB338B"/>
    <w:rsid w:val="00EC00F6"/>
    <w:rsid w:val="00EC73CC"/>
    <w:rsid w:val="00ED4A04"/>
    <w:rsid w:val="00EF46C4"/>
    <w:rsid w:val="00F132DF"/>
    <w:rsid w:val="00F648E7"/>
    <w:rsid w:val="00F66193"/>
    <w:rsid w:val="00F82D87"/>
    <w:rsid w:val="00F92725"/>
    <w:rsid w:val="00F934FD"/>
    <w:rsid w:val="00FC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7E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 Spacing"/>
    <w:uiPriority w:val="99"/>
    <w:qFormat/>
    <w:rsid w:val="00847E17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0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Пенсионнй фонд Российской Федерации</Company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Агеева Марина Владимировна</dc:creator>
  <cp:lastModifiedBy>061LaponovaTA</cp:lastModifiedBy>
  <cp:revision>2</cp:revision>
  <cp:lastPrinted>2021-11-30T06:39:00Z</cp:lastPrinted>
  <dcterms:created xsi:type="dcterms:W3CDTF">2022-02-25T07:47:00Z</dcterms:created>
  <dcterms:modified xsi:type="dcterms:W3CDTF">2022-02-25T07:47:00Z</dcterms:modified>
</cp:coreProperties>
</file>