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EF1" w:rsidRPr="00122E81" w:rsidRDefault="00122E81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</w:t>
      </w:r>
      <w:r w:rsidR="00F30043">
        <w:rPr>
          <w:rFonts w:ascii="Times New Roman" w:hAnsi="Times New Roman" w:cs="Times New Roman"/>
          <w:color w:val="auto"/>
        </w:rPr>
        <w:t xml:space="preserve">    </w:t>
      </w:r>
      <w:r w:rsidR="00166052">
        <w:rPr>
          <w:rFonts w:ascii="Times New Roman" w:hAnsi="Times New Roman" w:cs="Times New Roman"/>
          <w:color w:val="auto"/>
        </w:rPr>
        <w:t xml:space="preserve"> </w:t>
      </w:r>
      <w:r w:rsidR="00A9719E" w:rsidRPr="00122E81">
        <w:rPr>
          <w:rFonts w:ascii="Times New Roman" w:hAnsi="Times New Roman" w:cs="Times New Roman"/>
          <w:color w:val="auto"/>
        </w:rPr>
        <w:t>Приложение</w:t>
      </w:r>
      <w:r w:rsidR="00314B6B" w:rsidRPr="00122E81">
        <w:rPr>
          <w:rFonts w:ascii="Times New Roman" w:hAnsi="Times New Roman" w:cs="Times New Roman"/>
          <w:color w:val="auto"/>
        </w:rPr>
        <w:t xml:space="preserve"> </w:t>
      </w:r>
      <w:r w:rsidR="00495EB0">
        <w:rPr>
          <w:rFonts w:ascii="Times New Roman" w:hAnsi="Times New Roman" w:cs="Times New Roman"/>
          <w:color w:val="auto"/>
        </w:rPr>
        <w:t>8</w:t>
      </w:r>
    </w:p>
    <w:p w:rsidR="00A9719E" w:rsidRPr="00122E81" w:rsidRDefault="00122E81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 w:rsidRPr="00122E81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 </w:t>
      </w:r>
      <w:r w:rsidR="00761AED">
        <w:rPr>
          <w:rFonts w:ascii="Times New Roman" w:hAnsi="Times New Roman" w:cs="Times New Roman"/>
          <w:color w:val="auto"/>
        </w:rPr>
        <w:t xml:space="preserve">  </w:t>
      </w:r>
      <w:r w:rsidR="00F30043">
        <w:rPr>
          <w:rFonts w:ascii="Times New Roman" w:hAnsi="Times New Roman" w:cs="Times New Roman"/>
          <w:color w:val="auto"/>
        </w:rPr>
        <w:t xml:space="preserve">      </w:t>
      </w:r>
      <w:r w:rsidR="00166052">
        <w:rPr>
          <w:rFonts w:ascii="Times New Roman" w:hAnsi="Times New Roman" w:cs="Times New Roman"/>
          <w:color w:val="auto"/>
        </w:rPr>
        <w:t xml:space="preserve"> </w:t>
      </w:r>
      <w:r w:rsidRPr="00122E81">
        <w:rPr>
          <w:rFonts w:ascii="Times New Roman" w:hAnsi="Times New Roman" w:cs="Times New Roman"/>
          <w:color w:val="auto"/>
        </w:rPr>
        <w:t>к</w:t>
      </w:r>
      <w:r w:rsidR="00A9719E" w:rsidRPr="00122E81">
        <w:rPr>
          <w:rFonts w:ascii="Times New Roman" w:hAnsi="Times New Roman" w:cs="Times New Roman"/>
          <w:color w:val="auto"/>
        </w:rPr>
        <w:t xml:space="preserve"> учетной политике по исполнению</w:t>
      </w:r>
      <w:r w:rsidR="00761AED">
        <w:rPr>
          <w:rFonts w:ascii="Times New Roman" w:hAnsi="Times New Roman" w:cs="Times New Roman"/>
          <w:color w:val="auto"/>
        </w:rPr>
        <w:t xml:space="preserve"> бюджета</w:t>
      </w:r>
    </w:p>
    <w:p w:rsidR="00A9719E" w:rsidRPr="00A9719E" w:rsidRDefault="00A9719E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Pr="00314B6B" w:rsidRDefault="00454AC3">
      <w:pPr>
        <w:pStyle w:val="a3"/>
        <w:spacing w:line="240" w:lineRule="auto"/>
        <w:ind w:left="0" w:righ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>Порядок признания в б</w:t>
      </w:r>
      <w:r w:rsidR="00B35C6E">
        <w:rPr>
          <w:rFonts w:ascii="Times New Roman" w:hAnsi="Times New Roman" w:cs="Times New Roman"/>
          <w:b/>
          <w:color w:val="auto"/>
          <w:sz w:val="28"/>
          <w:szCs w:val="28"/>
        </w:rPr>
        <w:t>юджетном</w:t>
      </w: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учете </w:t>
      </w:r>
    </w:p>
    <w:p w:rsidR="00BF0EF1" w:rsidRPr="00314B6B" w:rsidRDefault="00454AC3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>и раскрытия в б</w:t>
      </w:r>
      <w:r w:rsidR="00B35C6E">
        <w:rPr>
          <w:rFonts w:ascii="Times New Roman" w:hAnsi="Times New Roman" w:cs="Times New Roman"/>
          <w:b/>
          <w:color w:val="auto"/>
          <w:sz w:val="28"/>
          <w:szCs w:val="28"/>
        </w:rPr>
        <w:t>юджетной</w:t>
      </w: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отчетности событий после отчетной даты</w:t>
      </w:r>
    </w:p>
    <w:p w:rsidR="00BF0EF1" w:rsidRDefault="00BF0EF1">
      <w:pPr>
        <w:pStyle w:val="a3"/>
        <w:spacing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Default="00BF0EF1">
      <w:pPr>
        <w:pStyle w:val="a3"/>
        <w:spacing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Порядок устанавливает правила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признания свершившегося факта хозяйственной жизни событием после отчетной даты и </w:t>
      </w:r>
      <w:r>
        <w:rPr>
          <w:rFonts w:ascii="Times New Roman" w:hAnsi="Times New Roman" w:cs="Times New Roman"/>
          <w:color w:val="auto"/>
          <w:sz w:val="28"/>
          <w:szCs w:val="28"/>
        </w:rPr>
        <w:t>отражения в бюджетном учете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формах бюджетной отчетности информации о событиях после отчетной даты.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3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Событием после отчетной даты признается существенный факт хозяйственной жизни, который оказал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или может оказать влияние на финансовое состояние, движение денежных средств или результаты деятельности </w:t>
      </w:r>
      <w:r w:rsidR="00B917B2">
        <w:rPr>
          <w:rFonts w:ascii="Times New Roman" w:hAnsi="Times New Roman"/>
          <w:sz w:val="28"/>
          <w:szCs w:val="28"/>
        </w:rPr>
        <w:t>Управления</w:t>
      </w:r>
      <w:r w:rsidR="00C5438F">
        <w:rPr>
          <w:rFonts w:ascii="Times New Roman" w:hAnsi="Times New Roman"/>
          <w:sz w:val="28"/>
          <w:szCs w:val="28"/>
        </w:rPr>
        <w:t xml:space="preserve"> 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и имел место в период между отчетной датой и датой подписания бюджетной отчетности за отчетный год 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и (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датой принятия отчетности</w:t>
      </w:r>
      <w:r w:rsidR="00CD738E">
        <w:rPr>
          <w:rFonts w:ascii="Times New Roman" w:hAnsi="Times New Roman" w:cs="Times New Roman"/>
          <w:color w:val="auto"/>
          <w:sz w:val="28"/>
          <w:szCs w:val="28"/>
        </w:rPr>
        <w:t xml:space="preserve"> (далее - событие после отчетной даты)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Датой подписания бюджетной отчетности считается фактическая дата подписания руководителем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полного комплекта бюджетной отчетности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7D2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. Датой принятия бюджетной отчетности считается дата подписания Пенсионным фондом Российской Федерации Уведомления о принятии отчетности</w:t>
      </w:r>
      <w:r w:rsidR="00DB0500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, сформированного по результатам проведения им камеральной проверки полного комплекта бюджетной отчетности, представленного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Управлением</w:t>
      </w:r>
      <w:r w:rsidR="00DB0500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Pr="00532ECB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Решение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признании факта хозяйственной жизни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событи</w:t>
      </w:r>
      <w:r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после отчетной даты принимается </w:t>
      </w:r>
      <w:r w:rsidR="00631257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руководителем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 w:rsidR="00631257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по инициативе главного бухгалтера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на основании письменного обоснования. </w:t>
      </w:r>
    </w:p>
    <w:p w:rsidR="00BF0EF1" w:rsidRPr="00532ECB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. К событиям после отчетной даты относятся:</w:t>
      </w:r>
    </w:p>
    <w:p w:rsidR="00BF0EF1" w:rsidRPr="00532EC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32ECB">
        <w:rPr>
          <w:rFonts w:ascii="Times New Roman" w:hAnsi="Times New Roman" w:cs="Times New Roman"/>
          <w:color w:val="auto"/>
          <w:sz w:val="28"/>
          <w:szCs w:val="28"/>
        </w:rPr>
        <w:t>- события, подтверждающие условия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 - событие, которое подтверждает условия хозяйственной деятельности (фактов хозяйственной жизни)</w:t>
      </w:r>
      <w:r w:rsidR="00DF7ECB" w:rsidRP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 на отчетную дату, и (или) указывает на обстоятельства, существенным образом влияющие на показатели активов, 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обязательств и результатов деятельности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ПФР, раскрываемые в бюджетной отчетности, на отчетную дату (далее – событие, подтверждающее условия деятельности)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F0EF1" w:rsidRPr="00532EC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32ECB">
        <w:rPr>
          <w:rFonts w:ascii="Times New Roman" w:hAnsi="Times New Roman" w:cs="Times New Roman"/>
          <w:color w:val="auto"/>
          <w:sz w:val="28"/>
          <w:szCs w:val="28"/>
        </w:rPr>
        <w:t>- события, свидетельствующие об условиях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 - событие, которое указывает на условия хозяйственной деятельности (фактов хозяйственной жизни)</w:t>
      </w:r>
      <w:r w:rsidR="00DF7ECB" w:rsidRP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ПФР, возникших после отчетной даты, и (или) указывает на обстоятельства, возникшие после отчетной даты (далее – событие, </w:t>
      </w:r>
      <w:r w:rsidR="00DF7ECB" w:rsidRPr="00532ECB">
        <w:rPr>
          <w:rFonts w:ascii="Times New Roman" w:hAnsi="Times New Roman" w:cs="Times New Roman"/>
          <w:color w:val="auto"/>
          <w:sz w:val="28"/>
          <w:szCs w:val="28"/>
        </w:rPr>
        <w:t>свидетельствующ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F7ECB" w:rsidRPr="00532EC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об условиях деятельности)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. К событиям после отчетной даты не относится несвоевременное поступление после отчетной даты первичных учетных документов, оформляющих факты хозяйственной жизни, произошедшие в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отчетном периоде, информация о которых подлежит отражению в бюджетном учете и раскрытию в бюджетной отчетности в отчетном периоде.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833E3">
        <w:rPr>
          <w:rFonts w:ascii="Times New Roman" w:hAnsi="Times New Roman" w:cs="Times New Roman"/>
          <w:color w:val="auto"/>
          <w:sz w:val="28"/>
          <w:szCs w:val="28"/>
        </w:rPr>
        <w:t>К событиям, подтверждающим условия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относятся следующие </w:t>
      </w:r>
      <w:r w:rsidR="002E5982">
        <w:rPr>
          <w:rFonts w:ascii="Times New Roman" w:hAnsi="Times New Roman" w:cs="Times New Roman"/>
          <w:color w:val="auto"/>
          <w:sz w:val="28"/>
          <w:szCs w:val="28"/>
        </w:rPr>
        <w:t>документально подтвержденные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факты хозяйственной жизни: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1) выявление документально подтвержденных обстоятельств, указывающих на наличие у дебиторской задолженности признаков безнадежной к взысканию задолженности, если по состоянию на отчетную дату в отношении такой дебиторской задолженности уже осуществлялись меры по ее взысканию, в частности: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признание должника в установленном законодательством Российской Федерации порядке банкротом, если по состоянию на отчетную дату в отношении этого должника уже осуществлялась процедура банкротства;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ликвидация организации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–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должника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(плательщика платежей)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части его задолженности по платежам,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принятие судом акта, в соответствии с которым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Управление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утрачивает возможность взыскания с должника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(плательщика платежей)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задолженности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документа, если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с даты образования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дебиторской задолженности прошло более пяти лет, в следующих случаях: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судом возвращено заявление о признании плательщика платежей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2) завершение после отчетной даты судебного производства, в результате которого подтверждается наличие (отсутствие) на отчетную дату обязательства, по которому ранее был определен резерв предстоящих расходов;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3) завершение после отчетной даты процесса оформления изменений существенных условий сделки, который был инициирован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4)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5) получение от страховой организации документа, устанавливающего (уточняющего) размер страхового возмещения по страховому случаю, произошедшему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6)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7) получение информации об изменении после отчетной даты кадастровых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оценок нефинансовых активов;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8) определение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Федерации;</w:t>
      </w:r>
    </w:p>
    <w:p w:rsidR="00BF0EF1" w:rsidRPr="00012D34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9) обнаружение после отчетной даты, но до даты принятия (утверждения) бюджетной отчетности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>
        <w:rPr>
          <w:rFonts w:ascii="Times New Roman" w:hAnsi="Times New Roman" w:cs="Times New Roman"/>
          <w:color w:val="auto"/>
          <w:sz w:val="28"/>
          <w:szCs w:val="28"/>
        </w:rPr>
        <w:t>, ошибки в данных бюджетного учета за отчетный период (периоды, предшествующие отчетному) и (или) ошибки, допущенной при составлении бюджетной отчетности, в том числе по результатам проведения камеральной проверки, либо при осуществлении внутреннего контроля ведения бюджетного учета и составления бюджетной отчетности, внутреннего финансового контроля и (или) внутреннего финансового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аудита, а также внешнего и внутреннего государственного финансового контроля</w:t>
      </w:r>
      <w:r w:rsidR="00012D34" w:rsidRPr="00012D3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012D34" w:rsidRPr="00012D34" w:rsidRDefault="00012D34" w:rsidP="005F0935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1988">
        <w:rPr>
          <w:rFonts w:ascii="Times New Roman" w:hAnsi="Times New Roman"/>
          <w:sz w:val="28"/>
          <w:szCs w:val="28"/>
        </w:rPr>
        <w:t>1</w:t>
      </w:r>
      <w:r w:rsidR="00B917B2">
        <w:rPr>
          <w:rFonts w:ascii="Times New Roman" w:hAnsi="Times New Roman"/>
          <w:sz w:val="28"/>
          <w:szCs w:val="28"/>
        </w:rPr>
        <w:t>0</w:t>
      </w:r>
      <w:r w:rsidRPr="0026198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619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начисление платежей </w:t>
      </w:r>
      <w:r w:rsidR="008B3D60">
        <w:rPr>
          <w:rFonts w:ascii="Times New Roman" w:hAnsi="Times New Roman"/>
          <w:sz w:val="28"/>
          <w:szCs w:val="28"/>
        </w:rPr>
        <w:t xml:space="preserve">по налогам и сборам </w:t>
      </w:r>
      <w:r w:rsidR="00261988">
        <w:rPr>
          <w:rFonts w:ascii="Times New Roman" w:hAnsi="Times New Roman"/>
          <w:sz w:val="28"/>
          <w:szCs w:val="28"/>
        </w:rPr>
        <w:t>на основании налоговой декларации.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К событиям, </w:t>
      </w:r>
      <w:r w:rsidR="00574D8F" w:rsidRPr="00532ECB">
        <w:rPr>
          <w:rFonts w:ascii="Times New Roman" w:hAnsi="Times New Roman" w:cs="Times New Roman"/>
          <w:color w:val="auto"/>
          <w:sz w:val="28"/>
          <w:szCs w:val="28"/>
        </w:rPr>
        <w:t>свидетельствующ</w:t>
      </w:r>
      <w:r w:rsidR="00574D8F">
        <w:rPr>
          <w:rFonts w:ascii="Times New Roman" w:hAnsi="Times New Roman" w:cs="Times New Roman"/>
          <w:color w:val="auto"/>
          <w:sz w:val="28"/>
          <w:szCs w:val="28"/>
        </w:rPr>
        <w:t xml:space="preserve">им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об условиях деятельности</w:t>
      </w:r>
      <w:r w:rsidR="00574D8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относятся: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1) принятие решения о реорганизации (ликвидации)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(подведомственных учреждений), либо изменении типа учреждения, о котором не было известно по состоянию на отчетную дату;</w:t>
      </w:r>
    </w:p>
    <w:p w:rsidR="00BF0EF1" w:rsidRDefault="00B917B2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) возникновение обстоятельств, в том числе чрезвычайных, в результате которых активы выбыли из </w:t>
      </w:r>
      <w:r w:rsidR="00FB2B25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владения, 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пользования и распоряжения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Управления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вследствие их гибели и (или) уничтожения, а также вследствие невозможности установления их местонахождения;</w:t>
      </w:r>
    </w:p>
    <w:p w:rsidR="00BF0EF1" w:rsidRDefault="00B917B2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) публичные объявления об изменениях государственной политики, планов и намерений Пенсионного фонда Российской Федерации, реализация которых в ближайшем будущем существенно окажет влияние на деятельность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Управления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F0EF1" w:rsidRDefault="00B917B2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)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ближайшем будущем существенно повлияет на величину активов, обязательств, доходов и расходов </w:t>
      </w:r>
      <w:r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36B0B" w:rsidRDefault="00B917B2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761AED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836B0B">
        <w:rPr>
          <w:rFonts w:ascii="Times New Roman" w:hAnsi="Times New Roman" w:cs="Times New Roman"/>
          <w:color w:val="auto"/>
          <w:sz w:val="28"/>
          <w:szCs w:val="28"/>
        </w:rPr>
        <w:t xml:space="preserve"> начало судебного производства, связанного исключительно с событиями, произошедшими после отчетной даты.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9719E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Событие, подтверждающее условия деятельности, независимо от его положительного или отрицательного характера для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>
        <w:rPr>
          <w:rFonts w:ascii="Times New Roman" w:hAnsi="Times New Roman" w:cs="Times New Roman"/>
          <w:color w:val="auto"/>
          <w:sz w:val="28"/>
          <w:szCs w:val="28"/>
        </w:rPr>
        <w:t>, отражается:</w:t>
      </w:r>
    </w:p>
    <w:p w:rsidR="00BF0EF1" w:rsidRDefault="00454AC3" w:rsidP="009802B1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 в бюджетном учете путем выполнения последним днем отчетного периода записей по счетам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</w:rPr>
        <w:t>абочего плана счетов бюджетного учета (до отражения бухгалтерских записей по завершению финансового года) – дополнительной бухгалтерской записью, либо бухгалтерской записью, оформленной по способу «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» и дополнительной бухгалтерской записью; 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в бюджетной отчетности за отчетный период, сформированной на основе данных бюджетного учета, с учетом отражения указанного события после отчетной даты.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Пояснительной записке к бюджетной отчетности отражается информация об условиях хозяйственной деятельности на отчетную дату с учетом событий после отчетной даты, по </w:t>
      </w:r>
      <w:bookmarkStart w:id="1" w:name="_GoBack"/>
      <w:bookmarkEnd w:id="1"/>
      <w:r w:rsidR="00761AED">
        <w:rPr>
          <w:rFonts w:ascii="Times New Roman" w:hAnsi="Times New Roman" w:cs="Times New Roman"/>
          <w:color w:val="auto"/>
          <w:sz w:val="28"/>
          <w:szCs w:val="28"/>
        </w:rPr>
        <w:t>результатам,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отражения которых сформированы показатели бюджетной отчетности.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7D2C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. События, свидетельствующие </w:t>
      </w:r>
      <w:r w:rsidR="00574D8F" w:rsidRPr="00407D2C">
        <w:rPr>
          <w:rFonts w:ascii="Times New Roman" w:hAnsi="Times New Roman" w:cs="Times New Roman"/>
          <w:color w:val="auto"/>
          <w:sz w:val="28"/>
          <w:szCs w:val="28"/>
        </w:rPr>
        <w:t>об условиях деятельности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отражается в бюджетном учете путем выполнения записей по счетам Рабочего плана счетов бюджетного учета в периоде, следующим </w:t>
      </w:r>
      <w:proofErr w:type="gramStart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за</w:t>
      </w:r>
      <w:proofErr w:type="gramEnd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 отчетным. В отчетном периоде в бюджетном учете такая информация не отражается. Информация 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раскрыва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тся в текстовой части пояснительной записки (ф. 0503160) или Пояснениях, представляемых в составе полного комплекта </w:t>
      </w:r>
      <w:r w:rsidR="00574D8F" w:rsidRPr="00407D2C">
        <w:rPr>
          <w:rFonts w:ascii="Times New Roman" w:hAnsi="Times New Roman" w:cs="Times New Roman"/>
          <w:color w:val="auto"/>
          <w:sz w:val="28"/>
          <w:szCs w:val="28"/>
        </w:rPr>
        <w:t>бюджетн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ой отчетности за отчетный период. 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При этом входящие остатки на 1 января года, следующего за </w:t>
      </w:r>
      <w:proofErr w:type="gramStart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отчетным</w:t>
      </w:r>
      <w:proofErr w:type="gramEnd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, не ко</w:t>
      </w:r>
      <w:r w:rsidR="000B1116" w:rsidRPr="00407D2C">
        <w:rPr>
          <w:rFonts w:ascii="Times New Roman" w:hAnsi="Times New Roman" w:cs="Times New Roman"/>
          <w:color w:val="auto"/>
          <w:sz w:val="28"/>
          <w:szCs w:val="28"/>
        </w:rPr>
        <w:t>рр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ектируются.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Информация, раскрываемая в пояснительной записке (ф. 0503160) или Пояснениях,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выражении отсутствует, учреждение должно указать это.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В целях своевременного представления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достоверной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отчетности, первичные учетные документы, отражающие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факты хозяйственной жизни, которые произошли в период 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>между отчетной датой и датой подписания б</w:t>
      </w:r>
      <w:r w:rsidR="005840A7">
        <w:rPr>
          <w:rFonts w:ascii="Times New Roman" w:hAnsi="Times New Roman" w:cs="Times New Roman"/>
          <w:color w:val="auto"/>
          <w:sz w:val="28"/>
          <w:szCs w:val="28"/>
        </w:rPr>
        <w:t>юджетн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>ой отчетности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, представляются в структурное подразделение, ведущее бюджетный учет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не позднее, чем за два </w:t>
      </w:r>
      <w:r w:rsidR="004B2D6B">
        <w:rPr>
          <w:rFonts w:ascii="Times New Roman" w:hAnsi="Times New Roman" w:cs="Times New Roman"/>
          <w:color w:val="auto"/>
          <w:sz w:val="28"/>
          <w:szCs w:val="28"/>
        </w:rPr>
        <w:t xml:space="preserve">рабочих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дня до даты представления отчетности, установленной соответствующим распоряжением Правления ПФР.</w:t>
      </w:r>
    </w:p>
    <w:p w:rsidR="004B2D6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случае представления первичных учетных документов, отражающих событие после отчетной даты, в более поздний срок, отражение в учете и отчетности осуществляется по согласованию с Пенсионным фондом Российской Федерации путем внесения изменений в бюджетном учете и бюджетной отчетности за отчетный год</w:t>
      </w:r>
      <w:r w:rsidR="004B2D6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B5F4E" w:rsidRPr="00DB5F4E" w:rsidRDefault="00DB5F4E" w:rsidP="005F0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В случае если информация о событии после отчетной даты не используется при формировании показателей б</w:t>
      </w:r>
      <w:r w:rsidR="000B1116" w:rsidRPr="00407D2C">
        <w:rPr>
          <w:rFonts w:ascii="Times New Roman" w:eastAsia="Times New Roman" w:hAnsi="Times New Roman"/>
          <w:sz w:val="28"/>
          <w:szCs w:val="28"/>
          <w:lang w:eastAsia="en-US"/>
        </w:rPr>
        <w:t>юджетн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ой отчетности, информация об указанном событии при условии его существенности и его оценке в денежном выражении раскрывается в </w:t>
      </w:r>
      <w:r w:rsidR="000B1116"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бюджетной 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отчетности </w:t>
      </w:r>
      <w:r w:rsidR="000B1116" w:rsidRPr="00407D2C">
        <w:rPr>
          <w:rFonts w:ascii="Times New Roman" w:hAnsi="Times New Roman"/>
          <w:sz w:val="28"/>
          <w:szCs w:val="28"/>
        </w:rPr>
        <w:t>в текстовой части пояснительной записки (ф. 0503160)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. При этом на основании указанной информации (в </w:t>
      </w:r>
      <w:r w:rsidR="00B917B2" w:rsidRPr="00407D2C">
        <w:rPr>
          <w:rFonts w:ascii="Times New Roman" w:eastAsia="Times New Roman" w:hAnsi="Times New Roman"/>
          <w:sz w:val="28"/>
          <w:szCs w:val="28"/>
          <w:lang w:eastAsia="en-US"/>
        </w:rPr>
        <w:t>меж отчётный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 период) корректируются входящие остатки на 1 января года, следующего за отчетным.</w:t>
      </w:r>
    </w:p>
    <w:sectPr w:rsidR="00DB5F4E" w:rsidRPr="00DB5F4E" w:rsidSect="00B917B2">
      <w:headerReference w:type="default" r:id="rId9"/>
      <w:pgSz w:w="11906" w:h="16838"/>
      <w:pgMar w:top="851" w:right="567" w:bottom="1134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0C2" w:rsidRDefault="00F700C2">
      <w:pPr>
        <w:spacing w:after="0" w:line="240" w:lineRule="auto"/>
      </w:pPr>
      <w:r>
        <w:separator/>
      </w:r>
    </w:p>
  </w:endnote>
  <w:endnote w:type="continuationSeparator" w:id="0">
    <w:p w:rsidR="00F700C2" w:rsidRDefault="00F7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harter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0C2" w:rsidRDefault="00F700C2">
      <w:pPr>
        <w:spacing w:after="0" w:line="240" w:lineRule="auto"/>
      </w:pPr>
      <w:r>
        <w:separator/>
      </w:r>
    </w:p>
  </w:footnote>
  <w:footnote w:type="continuationSeparator" w:id="0">
    <w:p w:rsidR="00F700C2" w:rsidRDefault="00F70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F1" w:rsidRDefault="00454AC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61AED">
      <w:rPr>
        <w:noProof/>
      </w:rPr>
      <w:t>6</w:t>
    </w:r>
    <w:r>
      <w:fldChar w:fldCharType="end"/>
    </w:r>
  </w:p>
  <w:p w:rsidR="00BF0EF1" w:rsidRDefault="00BF0E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6D5F"/>
    <w:multiLevelType w:val="multilevel"/>
    <w:tmpl w:val="FA84313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">
    <w:nsid w:val="2B4408F7"/>
    <w:multiLevelType w:val="multilevel"/>
    <w:tmpl w:val="15E6A1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">
    <w:nsid w:val="732073D6"/>
    <w:multiLevelType w:val="multilevel"/>
    <w:tmpl w:val="9432B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F1"/>
    <w:rsid w:val="00010236"/>
    <w:rsid w:val="00012D34"/>
    <w:rsid w:val="0001404B"/>
    <w:rsid w:val="0008281E"/>
    <w:rsid w:val="000B1116"/>
    <w:rsid w:val="00102836"/>
    <w:rsid w:val="00122E81"/>
    <w:rsid w:val="00130273"/>
    <w:rsid w:val="00166052"/>
    <w:rsid w:val="00261988"/>
    <w:rsid w:val="002E5982"/>
    <w:rsid w:val="002E63D7"/>
    <w:rsid w:val="00314B6B"/>
    <w:rsid w:val="0032191C"/>
    <w:rsid w:val="00407D2C"/>
    <w:rsid w:val="00430888"/>
    <w:rsid w:val="00441411"/>
    <w:rsid w:val="00454AC3"/>
    <w:rsid w:val="00495EB0"/>
    <w:rsid w:val="004B2D6B"/>
    <w:rsid w:val="005171C2"/>
    <w:rsid w:val="00532ECB"/>
    <w:rsid w:val="00574D8F"/>
    <w:rsid w:val="005840A7"/>
    <w:rsid w:val="005F0935"/>
    <w:rsid w:val="00631257"/>
    <w:rsid w:val="00654508"/>
    <w:rsid w:val="006833E3"/>
    <w:rsid w:val="006B2A32"/>
    <w:rsid w:val="006D0906"/>
    <w:rsid w:val="007221F6"/>
    <w:rsid w:val="00761AED"/>
    <w:rsid w:val="007D6CDA"/>
    <w:rsid w:val="00836B0B"/>
    <w:rsid w:val="00853DB3"/>
    <w:rsid w:val="008B3D60"/>
    <w:rsid w:val="009802B1"/>
    <w:rsid w:val="00A02B81"/>
    <w:rsid w:val="00A9719E"/>
    <w:rsid w:val="00B35C6E"/>
    <w:rsid w:val="00B917B2"/>
    <w:rsid w:val="00B934F2"/>
    <w:rsid w:val="00BF0EF1"/>
    <w:rsid w:val="00C13DCA"/>
    <w:rsid w:val="00C5438F"/>
    <w:rsid w:val="00CD738E"/>
    <w:rsid w:val="00D44401"/>
    <w:rsid w:val="00DB0500"/>
    <w:rsid w:val="00DB5F4E"/>
    <w:rsid w:val="00DC0A54"/>
    <w:rsid w:val="00DF7ECB"/>
    <w:rsid w:val="00E63D54"/>
    <w:rsid w:val="00E65824"/>
    <w:rsid w:val="00EC1FAD"/>
    <w:rsid w:val="00ED1212"/>
    <w:rsid w:val="00F30043"/>
    <w:rsid w:val="00F700C2"/>
    <w:rsid w:val="00FB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форм и бланков (Основа)"/>
    <w:basedOn w:val="a"/>
    <w:uiPriority w:val="99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hAnsi="CharterC" w:cs="Charter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eastAsiaTheme="minorEastAsia" w:cs="Times New Roman"/>
      <w:lang w:val="x-none"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eastAsiaTheme="minorEastAsia" w:cs="Times New Roman"/>
      <w:lang w:val="x-none" w:eastAsia="ru-RU"/>
    </w:rPr>
  </w:style>
  <w:style w:type="paragraph" w:customStyle="1" w:styleId="a8">
    <w:name w:val="Нормальный (таблица)"/>
    <w:basedOn w:val="a"/>
    <w:next w:val="a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eastAsiaTheme="minorEastAsia" w:hAnsi="Tahoma" w:cs="Tahoma"/>
      <w:sz w:val="16"/>
      <w:szCs w:val="16"/>
      <w:lang w:val="x-none" w:eastAsia="ru-RU"/>
    </w:rPr>
  </w:style>
  <w:style w:type="character" w:styleId="ab">
    <w:name w:val="annotation reference"/>
    <w:basedOn w:val="a0"/>
    <w:uiPriority w:val="99"/>
    <w:semiHidden/>
    <w:unhideWhenUsed/>
    <w:rsid w:val="00E658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58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5824"/>
    <w:rPr>
      <w:rFonts w:eastAsiaTheme="minorEastAsi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58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5824"/>
    <w:rPr>
      <w:rFonts w:eastAsiaTheme="minorEastAsia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форм и бланков (Основа)"/>
    <w:basedOn w:val="a"/>
    <w:uiPriority w:val="99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hAnsi="CharterC" w:cs="Charter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eastAsiaTheme="minorEastAsia" w:cs="Times New Roman"/>
      <w:lang w:val="x-none"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eastAsiaTheme="minorEastAsia" w:cs="Times New Roman"/>
      <w:lang w:val="x-none" w:eastAsia="ru-RU"/>
    </w:rPr>
  </w:style>
  <w:style w:type="paragraph" w:customStyle="1" w:styleId="a8">
    <w:name w:val="Нормальный (таблица)"/>
    <w:basedOn w:val="a"/>
    <w:next w:val="a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eastAsiaTheme="minorEastAsia" w:hAnsi="Tahoma" w:cs="Tahoma"/>
      <w:sz w:val="16"/>
      <w:szCs w:val="16"/>
      <w:lang w:val="x-none" w:eastAsia="ru-RU"/>
    </w:rPr>
  </w:style>
  <w:style w:type="character" w:styleId="ab">
    <w:name w:val="annotation reference"/>
    <w:basedOn w:val="a0"/>
    <w:uiPriority w:val="99"/>
    <w:semiHidden/>
    <w:unhideWhenUsed/>
    <w:rsid w:val="00E658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58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5824"/>
    <w:rPr>
      <w:rFonts w:eastAsiaTheme="minorEastAsi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58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5824"/>
    <w:rPr>
      <w:rFonts w:eastAsiaTheme="minorEastAs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65086-A261-4ACB-B9E6-FBF88DCC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Аюдар Инфо</dc:creator>
  <cp:lastModifiedBy>Рекало Елена Юрьевна</cp:lastModifiedBy>
  <cp:revision>10</cp:revision>
  <cp:lastPrinted>2019-06-19T09:09:00Z</cp:lastPrinted>
  <dcterms:created xsi:type="dcterms:W3CDTF">2018-12-18T06:54:00Z</dcterms:created>
  <dcterms:modified xsi:type="dcterms:W3CDTF">2019-06-19T09:09:00Z</dcterms:modified>
</cp:coreProperties>
</file>