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22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>.2018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22</w:t>
      </w:r>
      <w:r>
        <w:rPr>
          <w:rFonts w:cs="Times New Roman" w:ascii="Times New Roman" w:hAnsi="Times New Roman"/>
          <w:sz w:val="24"/>
          <w:szCs w:val="24"/>
        </w:rPr>
        <w:t xml:space="preserve"> а</w:t>
      </w:r>
      <w:r>
        <w:rPr>
          <w:rFonts w:cs="Times New Roman" w:ascii="Times New Roman" w:hAnsi="Times New Roman"/>
          <w:sz w:val="24"/>
          <w:szCs w:val="24"/>
        </w:rPr>
        <w:t>вгуста</w:t>
      </w:r>
      <w:r>
        <w:rPr>
          <w:rFonts w:cs="Times New Roman" w:ascii="Times New Roman" w:hAnsi="Times New Roman"/>
          <w:sz w:val="24"/>
          <w:szCs w:val="24"/>
        </w:rPr>
        <w:t xml:space="preserve"> 2018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LibreOffice/5.4.3.2$Windows_X86_64 LibreOffice_project/92a7159f7e4af62137622921e809f8546db437e5</Application>
  <Pages>1</Pages>
  <Words>254</Words>
  <Characters>1872</Characters>
  <CharactersWithSpaces>2123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2019-06-14T14:04:01Z</dcterms:modified>
  <cp:revision>16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