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B" w:rsidRPr="00303566" w:rsidRDefault="00980CEB" w:rsidP="00980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496B0" w:themeColor="text2" w:themeTint="99"/>
          <w:kern w:val="36"/>
          <w:sz w:val="44"/>
          <w:szCs w:val="44"/>
          <w:lang w:eastAsia="ru-RU"/>
        </w:rPr>
      </w:pPr>
      <w:r w:rsidRPr="00303566">
        <w:rPr>
          <w:rFonts w:ascii="Times New Roman" w:eastAsia="Times New Roman" w:hAnsi="Times New Roman" w:cs="Times New Roman"/>
          <w:b/>
          <w:bCs/>
          <w:color w:val="8496B0" w:themeColor="text2" w:themeTint="99"/>
          <w:kern w:val="36"/>
          <w:sz w:val="44"/>
          <w:szCs w:val="44"/>
          <w:lang w:eastAsia="ru-RU"/>
        </w:rPr>
        <w:t>О финансовом обеспечении предупредительных мер в 2024 году</w:t>
      </w:r>
    </w:p>
    <w:p w:rsidR="00980CEB" w:rsidRPr="00303566" w:rsidRDefault="00980CEB" w:rsidP="00987B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035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Уважаемые страхователи!</w:t>
      </w:r>
    </w:p>
    <w:p w:rsidR="00980CEB" w:rsidRPr="00790D53" w:rsidRDefault="00980CEB" w:rsidP="00987B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Информируем Вас о том, что в соответствии со </w:t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ст. 6 Федерального Закона от  27.11.2023 N 542-ФЗ "О бюджете Фонда пенсионного и социального страхования Российской Федерации на 2024 год и на плановый период 2025 и 2026 годов" 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14.07.2021 №467н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(далее – Правила),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в 2024 году и не может превышать 20 процентов сумм страховых взносов, начисленных им за 2023 год, за вычетом расходов на выплату обеспечения по указанному виду страхования, произведенных страхователем в 2023 году.</w:t>
      </w: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Обращаем внимание страхователей с численностью работников до 100 человек.</w:t>
      </w: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случае, если указанные страхователи не осуществляли в 2022-2023 годах финансовое обеспечение предупредительных мер по сокращению производственного травматизма и профессиональных заболеваний, то им предоставляется право направить на финансовое обеспечение указанных мер в объеме средств, рассчитанного, исходя из отчетных данных за 2021-2023 годы, за вычетом расходов на выплату обеспечения по обязательному социальному страхованию от несчастных случаев на производстве и профессиональных заболеваний, произведенных в данном периоде.  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790D5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в предшествующем календарном году,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980CEB" w:rsidRPr="00790D53" w:rsidRDefault="00980CEB" w:rsidP="009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6"/>
          <w:lang w:eastAsia="ru-RU"/>
        </w:rPr>
        <w:t>Срок подачи заявления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финансовое обеспечение предупредительных мер в территориальный орган Фонда по месту своей регистрации - </w:t>
      </w: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6"/>
          <w:lang w:eastAsia="ru-RU"/>
        </w:rPr>
        <w:t>до 1 августа текущего года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.</w:t>
      </w:r>
    </w:p>
    <w:p w:rsidR="00980CEB" w:rsidRPr="00790D53" w:rsidRDefault="00980CEB" w:rsidP="00987B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случае, если за получением государственной услуги обращается представитель заявителя, то представляются также документы, удостоверяющие личность и полномочия представителя.</w:t>
      </w:r>
    </w:p>
    <w:p w:rsidR="00980CEB" w:rsidRPr="00790D53" w:rsidRDefault="00980CEB" w:rsidP="009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</w:pPr>
    </w:p>
    <w:p w:rsidR="00980CEB" w:rsidRPr="00790D53" w:rsidRDefault="00980CEB" w:rsidP="00987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u w:val="single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ab/>
      </w:r>
      <w:r w:rsidRPr="00790D53">
        <w:rPr>
          <w:rStyle w:val="a3"/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  <w:t>Сумма, разрешенная страхователю на финансовое обеспечение предупредительных мер, может быть направлена по усмотрению страхователя на проведение следующих видов мероприятий</w:t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: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Проведение специальной оценки условий труда;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Обучение по охране труда (включая отдельные категории работников опасных производственных объектов)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государств - членов Евразийского экономического союза;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Обеспечение лечебно-профилактическим питанием работников, для которых указанное питание предусмотрено;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Приобретение приборов для определения наличия и уровня содержания алкоголя (</w:t>
      </w:r>
      <w:proofErr w:type="spell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алкотестеры</w:t>
      </w:r>
      <w:proofErr w:type="spell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или </w:t>
      </w:r>
      <w:proofErr w:type="spell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алкометры</w:t>
      </w:r>
      <w:proofErr w:type="spell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Приобретение приборов контроля за режимом труда и отдыха водителей (</w:t>
      </w:r>
      <w:proofErr w:type="spell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тахографов</w:t>
      </w:r>
      <w:proofErr w:type="spell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Приобретение аптечек для оказания первой помощи;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980CEB" w:rsidRPr="00790D53" w:rsidRDefault="00980CEB" w:rsidP="00987B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980CEB" w:rsidRPr="00790D53" w:rsidRDefault="00980CEB" w:rsidP="00987B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  <w:r w:rsidRPr="00790D53">
        <w:rPr>
          <w:rFonts w:ascii="Times New Roman" w:hAnsi="Times New Roman" w:cs="Times New Roman"/>
          <w:color w:val="0D0D0D" w:themeColor="text1" w:themeTint="F2"/>
          <w:sz w:val="24"/>
          <w:szCs w:val="26"/>
        </w:rPr>
        <w:t xml:space="preserve">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</w:p>
    <w:p w:rsidR="00980CEB" w:rsidRPr="00790D53" w:rsidRDefault="00980CEB" w:rsidP="00987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lastRenderedPageBreak/>
        <w:t>При обращении в Фонд страхователю необходимо учесть, что ОТКАЗ в предоставлении государственной услуги производится в следующих случаях:</w:t>
      </w: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proofErr w:type="gram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proofErr w:type="gram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представленные документы содержат недостоверную информацию;</w:t>
      </w:r>
    </w:p>
    <w:p w:rsidR="00980CEB" w:rsidRPr="00790D53" w:rsidRDefault="00980CEB" w:rsidP="00987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980CEB" w:rsidRPr="00790D53" w:rsidRDefault="00980CEB" w:rsidP="00987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proofErr w:type="gramEnd"/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при представлении страхователем неполного комплекта документов.</w:t>
      </w:r>
    </w:p>
    <w:p w:rsidR="00980CEB" w:rsidRPr="00790D53" w:rsidRDefault="00980CEB" w:rsidP="00987B2E">
      <w:pPr>
        <w:spacing w:before="300" w:after="30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980CEB" w:rsidRPr="00790D53" w:rsidRDefault="00980CEB" w:rsidP="00987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Ключевые моменты, на которые необходимо обратить внимание страхователю: </w:t>
      </w: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отделением на эти цели;</w:t>
      </w: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страхователь обращается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Фонд по месту регистрации </w:t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 заявлением о возмещении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произведенных расходов на оплату предупредительных мер с представлением документов, подтверждающих произведенные расходы, </w:t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не позднее 15 декабря</w:t>
      </w:r>
      <w:r w:rsidRPr="00790D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соответствующего года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отделение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заявлении;</w:t>
      </w: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  <w:r w:rsidRPr="00790D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980CEB" w:rsidRPr="00790D53" w:rsidRDefault="00980CEB" w:rsidP="00987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разъяснениями по вопросам финансового обеспечения предупредительных мер обращаться по </w:t>
      </w:r>
      <w:proofErr w:type="gramStart"/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телефону:  8</w:t>
      </w:r>
      <w:proofErr w:type="gramEnd"/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(3652) 66-71-28</w:t>
      </w:r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80CEB" w:rsidRPr="008E0073" w:rsidRDefault="00980CEB" w:rsidP="008E0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Подать заявление на финансовое обеспечение предупредительных мер можно воспользовавшись интерактивным сервисом на Портале государственных услуг </w:t>
      </w:r>
      <w:hyperlink r:id="rId5" w:history="1">
        <w:r w:rsidRPr="00790D53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eastAsia="ru-RU"/>
          </w:rPr>
          <w:t>https://www.gosuslugi.ru/</w:t>
        </w:r>
      </w:hyperlink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,</w:t>
      </w: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а также через Клиентскую службу</w:t>
      </w:r>
    </w:p>
    <w:p w:rsidR="008E0073" w:rsidRDefault="008E0073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Бланки документов:</w:t>
      </w:r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w:anchor="Приложение_1" w:history="1">
        <w:r w:rsidR="00987B2E" w:rsidRPr="00790D53">
          <w:rPr>
            <w:rStyle w:val="a4"/>
            <w:rFonts w:ascii="Times New Roman" w:eastAsia="Times New Roman" w:hAnsi="Times New Roman" w:cs="Times New Roman"/>
            <w:noProof/>
            <w:color w:val="0D0D0D" w:themeColor="text1" w:themeTint="F2"/>
            <w:sz w:val="20"/>
            <w:szCs w:val="20"/>
            <w:lang w:eastAsia="ru-RU"/>
          </w:rPr>
          <w:t xml:space="preserve">-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Заявление о финансовом обеспечении предупредительных мер 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w:anchor="Приложение_2" w:history="1">
        <w:r w:rsidR="00987B2E" w:rsidRPr="00790D53">
          <w:rPr>
            <w:rStyle w:val="a4"/>
            <w:noProof/>
            <w:color w:val="0D0D0D" w:themeColor="text1" w:themeTint="F2"/>
            <w:lang w:eastAsia="ru-RU"/>
          </w:rPr>
          <w:t>-</w:t>
        </w:r>
        <w:r w:rsidRPr="00790D53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 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Памятка страхователю - перечень документов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w:anchor="Приложение_3" w:history="1">
        <w:r w:rsidR="00987B2E" w:rsidRPr="00790D53">
          <w:rPr>
            <w:rStyle w:val="a4"/>
            <w:noProof/>
            <w:color w:val="0D0D0D" w:themeColor="text1" w:themeTint="F2"/>
            <w:lang w:eastAsia="ru-RU"/>
          </w:rPr>
          <w:t>-</w:t>
        </w:r>
        <w:r w:rsidRPr="00790D53">
          <w:rPr>
            <w:rStyle w:val="a4"/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 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Перечень мероприятий по улучшению условий и охраны труда работников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  <w:hyperlink w:anchor="Приложение_4" w:history="1">
        <w:r w:rsidR="00987B2E" w:rsidRPr="00790D53">
          <w:rPr>
            <w:rStyle w:val="a4"/>
            <w:noProof/>
            <w:color w:val="0D0D0D" w:themeColor="text1" w:themeTint="F2"/>
            <w:lang w:eastAsia="ru-RU"/>
          </w:rPr>
          <w:t>-</w:t>
        </w:r>
        <w:r w:rsidRPr="00790D53">
          <w:rPr>
            <w:rStyle w:val="a4"/>
            <w:color w:val="0D0D0D" w:themeColor="text1" w:themeTint="F2"/>
          </w:rPr>
          <w:t xml:space="preserve">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План финансового обеспечения предупредительных мер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w:anchor="Приложение_5" w:history="1">
        <w:r w:rsidR="00987B2E" w:rsidRPr="00790D53">
          <w:rPr>
            <w:rStyle w:val="a4"/>
            <w:rFonts w:eastAsia="Times New Roman"/>
            <w:noProof/>
            <w:color w:val="0D0D0D" w:themeColor="text1" w:themeTint="F2"/>
            <w:sz w:val="20"/>
            <w:szCs w:val="20"/>
            <w:lang w:eastAsia="ru-RU"/>
          </w:rPr>
          <w:t xml:space="preserve">-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Отчет об использовании средств на финансовое обеспечение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w:anchor="Приложение_6" w:history="1">
        <w:r w:rsidR="00987B2E" w:rsidRPr="00790D53">
          <w:rPr>
            <w:rStyle w:val="a4"/>
            <w:rFonts w:eastAsia="Times New Roman"/>
            <w:noProof/>
            <w:color w:val="0D0D0D" w:themeColor="text1" w:themeTint="F2"/>
            <w:sz w:val="20"/>
            <w:szCs w:val="20"/>
            <w:lang w:eastAsia="ru-RU"/>
          </w:rPr>
          <w:t xml:space="preserve">-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Перечень </w:t>
        </w:r>
        <w:r w:rsidR="00537AA2"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приобретаемых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средств индивидуальной защиты (СИЗ)</w:t>
        </w:r>
      </w:hyperlink>
    </w:p>
    <w:p w:rsidR="00980CEB" w:rsidRPr="00790D53" w:rsidRDefault="00987B2E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790D53">
        <w:rPr>
          <w:rFonts w:ascii="Times New Roman" w:eastAsia="Times New Roman" w:hAnsi="Times New Roman" w:cs="Times New Roman"/>
          <w:noProof/>
          <w:color w:val="0D0D0D" w:themeColor="text1" w:themeTint="F2"/>
          <w:sz w:val="20"/>
          <w:szCs w:val="20"/>
          <w:lang w:eastAsia="ru-RU"/>
        </w:rPr>
        <w:t xml:space="preserve">- </w:t>
      </w:r>
      <w:hyperlink w:anchor="Приложение_7" w:history="1">
        <w:r w:rsidR="00980CEB"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Реестр работников </w:t>
        </w:r>
        <w:proofErr w:type="spellStart"/>
        <w:r w:rsidR="00980CEB"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предпенсионного</w:t>
        </w:r>
        <w:proofErr w:type="spellEnd"/>
        <w:r w:rsidR="00980CEB"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 возраста, направляемых на санаторно-курортное лечение</w:t>
        </w:r>
      </w:hyperlink>
    </w:p>
    <w:p w:rsidR="00980CEB" w:rsidRPr="00790D53" w:rsidRDefault="00987B2E" w:rsidP="00987B2E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D0D0D" w:themeColor="text1" w:themeTint="F2"/>
        </w:rPr>
      </w:pPr>
      <w:r w:rsidRPr="00790D53">
        <w:rPr>
          <w:noProof/>
          <w:color w:val="0D0D0D" w:themeColor="text1" w:themeTint="F2"/>
          <w:lang w:eastAsia="ru-RU"/>
        </w:rPr>
        <w:t xml:space="preserve">- </w:t>
      </w:r>
      <w:hyperlink w:anchor="Приложение_9" w:history="1">
        <w:r w:rsidR="00980CEB"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Заявление о возмещении страхователю произведенных расходов на оплату предупредительных мер по сокращению производственного травматизма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w:anchor="Приложение_6" w:history="1">
        <w:r w:rsidR="00987B2E" w:rsidRPr="00790D53">
          <w:rPr>
            <w:rStyle w:val="a4"/>
            <w:rFonts w:eastAsia="Times New Roman"/>
            <w:noProof/>
            <w:color w:val="0D0D0D" w:themeColor="text1" w:themeTint="F2"/>
            <w:sz w:val="20"/>
            <w:szCs w:val="20"/>
            <w:lang w:eastAsia="ru-RU"/>
          </w:rPr>
          <w:t xml:space="preserve">- 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Перечень </w:t>
        </w:r>
        <w:r w:rsidR="00537AA2"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>работников</w:t>
        </w:r>
        <w:r w:rsidRPr="00790D53">
          <w:rPr>
            <w:rStyle w:val="a4"/>
            <w:rFonts w:ascii="Times New Roman" w:hAnsi="Times New Roman" w:cs="Times New Roman"/>
            <w:color w:val="0D0D0D" w:themeColor="text1" w:themeTint="F2"/>
          </w:rPr>
          <w:t xml:space="preserve"> прошедших обучение </w:t>
        </w:r>
      </w:hyperlink>
    </w:p>
    <w:p w:rsidR="00980CEB" w:rsidRPr="00790D53" w:rsidRDefault="00980CEB" w:rsidP="0098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980CEB" w:rsidRPr="00790D53" w:rsidRDefault="00980CEB" w:rsidP="00987B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790D5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</w:t>
      </w:r>
    </w:p>
    <w:p w:rsidR="00035189" w:rsidRDefault="00980CEB" w:rsidP="00987B2E">
      <w:pPr>
        <w:jc w:val="center"/>
      </w:pP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44"/>
          <w:szCs w:val="44"/>
          <w:lang w:eastAsia="ru-RU"/>
        </w:rPr>
        <w:t>Работодатель, помни</w:t>
      </w:r>
      <w:r w:rsidR="000E309C">
        <w:rPr>
          <w:rFonts w:ascii="Times New Roman" w:eastAsia="Times New Roman" w:hAnsi="Times New Roman" w:cs="Times New Roman"/>
          <w:b/>
          <w:bCs/>
          <w:color w:val="0D0D0D" w:themeColor="text1" w:themeTint="F2"/>
          <w:sz w:val="44"/>
          <w:szCs w:val="44"/>
          <w:lang w:eastAsia="ru-RU"/>
        </w:rPr>
        <w:t>!</w:t>
      </w: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44"/>
          <w:szCs w:val="44"/>
          <w:lang w:eastAsia="ru-RU"/>
        </w:rPr>
        <w:t xml:space="preserve"> </w:t>
      </w:r>
      <w:r w:rsidR="000E309C">
        <w:rPr>
          <w:rFonts w:ascii="Times New Roman" w:eastAsia="Times New Roman" w:hAnsi="Times New Roman" w:cs="Times New Roman"/>
          <w:b/>
          <w:bCs/>
          <w:color w:val="0D0D0D" w:themeColor="text1" w:themeTint="F2"/>
          <w:sz w:val="44"/>
          <w:szCs w:val="44"/>
          <w:lang w:eastAsia="ru-RU"/>
        </w:rPr>
        <w:t>П</w:t>
      </w:r>
      <w:r w:rsidRPr="00790D53">
        <w:rPr>
          <w:rFonts w:ascii="Times New Roman" w:eastAsia="Times New Roman" w:hAnsi="Times New Roman" w:cs="Times New Roman"/>
          <w:b/>
          <w:bCs/>
          <w:color w:val="0D0D0D" w:themeColor="text1" w:themeTint="F2"/>
          <w:sz w:val="44"/>
          <w:szCs w:val="44"/>
          <w:lang w:eastAsia="ru-RU"/>
        </w:rPr>
        <w:t xml:space="preserve">роизводственный травматизм легче 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предупредить!</w:t>
      </w:r>
    </w:p>
    <w:sectPr w:rsidR="0003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A225F"/>
    <w:multiLevelType w:val="multilevel"/>
    <w:tmpl w:val="7EE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63"/>
    <w:rsid w:val="00035189"/>
    <w:rsid w:val="00041B63"/>
    <w:rsid w:val="000E309C"/>
    <w:rsid w:val="00537AA2"/>
    <w:rsid w:val="00790D53"/>
    <w:rsid w:val="007D3AAB"/>
    <w:rsid w:val="008E0073"/>
    <w:rsid w:val="00980CEB"/>
    <w:rsid w:val="009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1361-F7BC-4CA0-B024-1075A3A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CEB"/>
    <w:rPr>
      <w:b/>
      <w:bCs/>
    </w:rPr>
  </w:style>
  <w:style w:type="character" w:styleId="a4">
    <w:name w:val="Hyperlink"/>
    <w:basedOn w:val="a0"/>
    <w:uiPriority w:val="99"/>
    <w:unhideWhenUsed/>
    <w:rsid w:val="00980C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Екатерина Александровна</dc:creator>
  <cp:keywords/>
  <dc:description/>
  <cp:lastModifiedBy>Панченко Екатерина Александровна</cp:lastModifiedBy>
  <cp:revision>6</cp:revision>
  <dcterms:created xsi:type="dcterms:W3CDTF">2024-04-27T06:59:00Z</dcterms:created>
  <dcterms:modified xsi:type="dcterms:W3CDTF">2024-04-27T07:35:00Z</dcterms:modified>
</cp:coreProperties>
</file>