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30D60" w:rsidRDefault="004F3B8B">
      <w:pPr>
        <w:pStyle w:val="12"/>
        <w:spacing w:line="100" w:lineRule="atLeast"/>
        <w:ind w:firstLine="0"/>
        <w:jc w:val="left"/>
        <w:rPr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330D60">
        <w:rPr>
          <w:szCs w:val="26"/>
        </w:rPr>
        <w:t>Приложение 2</w:t>
      </w:r>
    </w:p>
    <w:p w:rsidR="00C46FF5" w:rsidRPr="00330D60" w:rsidRDefault="00330D60">
      <w:pPr>
        <w:pStyle w:val="12"/>
        <w:spacing w:line="100" w:lineRule="atLeast"/>
        <w:ind w:firstLine="0"/>
        <w:jc w:val="left"/>
        <w:rPr>
          <w:szCs w:val="26"/>
        </w:rPr>
      </w:pPr>
      <w:r>
        <w:rPr>
          <w:szCs w:val="26"/>
        </w:rPr>
        <w:t xml:space="preserve">                                                                          </w:t>
      </w:r>
      <w:r w:rsidR="004F3B8B" w:rsidRPr="00330D60">
        <w:rPr>
          <w:szCs w:val="26"/>
        </w:rPr>
        <w:t>к Учетной политике Центра ПФР,</w:t>
      </w:r>
    </w:p>
    <w:p w:rsidR="00C46FF5" w:rsidRPr="00330D60" w:rsidRDefault="004F3B8B">
      <w:pPr>
        <w:pStyle w:val="12"/>
        <w:spacing w:line="100" w:lineRule="atLeast"/>
        <w:ind w:firstLine="0"/>
        <w:jc w:val="left"/>
        <w:rPr>
          <w:szCs w:val="26"/>
        </w:rPr>
      </w:pPr>
      <w:r w:rsidRPr="00330D60">
        <w:rPr>
          <w:szCs w:val="26"/>
        </w:rPr>
        <w:t xml:space="preserve">                                                                          утвержденной приказом от 17.03.2020 № 2 </w:t>
      </w:r>
      <w:proofErr w:type="spellStart"/>
      <w:r w:rsidRPr="00330D60">
        <w:rPr>
          <w:szCs w:val="26"/>
        </w:rPr>
        <w:t>п</w:t>
      </w:r>
      <w:proofErr w:type="spellEnd"/>
      <w:r w:rsidRPr="00330D60">
        <w:rPr>
          <w:szCs w:val="26"/>
        </w:rPr>
        <w:t xml:space="preserve"> </w:t>
      </w:r>
    </w:p>
    <w:p w:rsidR="00C46FF5" w:rsidRDefault="00C46FF5">
      <w:pPr>
        <w:pStyle w:val="12"/>
        <w:spacing w:line="100" w:lineRule="atLeast"/>
        <w:ind w:left="5829" w:firstLine="0"/>
        <w:jc w:val="left"/>
        <w:rPr>
          <w:sz w:val="20"/>
        </w:rPr>
      </w:pPr>
    </w:p>
    <w:p w:rsidR="00C46FF5" w:rsidRDefault="004F3B8B">
      <w:pPr>
        <w:pStyle w:val="12"/>
        <w:spacing w:line="100" w:lineRule="atLeast"/>
        <w:ind w:firstLine="0"/>
        <w:jc w:val="center"/>
      </w:pPr>
      <w:r>
        <w:rPr>
          <w:sz w:val="28"/>
        </w:rPr>
        <w:t>Перечень</w:t>
      </w:r>
    </w:p>
    <w:p w:rsidR="00C46FF5" w:rsidRDefault="004F3B8B">
      <w:pPr>
        <w:pStyle w:val="12"/>
        <w:spacing w:line="100" w:lineRule="atLeast"/>
        <w:ind w:firstLine="0"/>
        <w:jc w:val="center"/>
      </w:pPr>
      <w:r>
        <w:rPr>
          <w:sz w:val="28"/>
        </w:rPr>
        <w:t>документов, подлежащих хранению в электронном архиве</w:t>
      </w:r>
    </w:p>
    <w:p w:rsidR="00C46FF5" w:rsidRDefault="004F3B8B">
      <w:pPr>
        <w:pStyle w:val="12"/>
        <w:spacing w:line="100" w:lineRule="atLeast"/>
        <w:ind w:firstLine="0"/>
        <w:jc w:val="center"/>
      </w:pPr>
      <w:r>
        <w:rPr>
          <w:sz w:val="28"/>
        </w:rPr>
        <w:t xml:space="preserve"> Центра ПФР по выплате пенсий в Красноярском крае </w:t>
      </w:r>
    </w:p>
    <w:p w:rsidR="00C46FF5" w:rsidRDefault="00C46FF5">
      <w:pPr>
        <w:pStyle w:val="12"/>
        <w:spacing w:line="100" w:lineRule="atLeast"/>
        <w:ind w:firstLine="0"/>
        <w:jc w:val="center"/>
      </w:pPr>
    </w:p>
    <w:p w:rsidR="00C46FF5" w:rsidRDefault="004F3B8B">
      <w:pPr>
        <w:pStyle w:val="Default"/>
        <w:jc w:val="both"/>
      </w:pPr>
      <w:r>
        <w:t xml:space="preserve">            </w:t>
      </w:r>
      <w:r>
        <w:rPr>
          <w:sz w:val="28"/>
          <w:szCs w:val="28"/>
        </w:rPr>
        <w:t xml:space="preserve">Нижеперечисленные документы, подписанные электронной цифровой подписью ответственных лиц, хранятся в электронных архивах, защищенных от несанкционированного доступа третьих лиц, в течение сроков, предусмотренных правилами государственного архивного дела. При необходимости могут быть распечатаны по запросу уполномоченного лица. </w:t>
      </w:r>
    </w:p>
    <w:p w:rsidR="00C46FF5" w:rsidRDefault="00C46FF5">
      <w:pPr>
        <w:pStyle w:val="Default"/>
        <w:jc w:val="both"/>
        <w:rPr>
          <w:sz w:val="20"/>
          <w:szCs w:val="20"/>
        </w:rPr>
      </w:pPr>
    </w:p>
    <w:p w:rsidR="00C46FF5" w:rsidRDefault="004F3B8B">
      <w:pPr>
        <w:pStyle w:val="Default"/>
        <w:jc w:val="both"/>
      </w:pPr>
      <w:r>
        <w:rPr>
          <w:sz w:val="28"/>
          <w:szCs w:val="28"/>
        </w:rPr>
        <w:t>Документы, сформированные и подписанные электронной цифровой подписью главного бухгалтера — начальника ФЭО:</w:t>
      </w:r>
    </w:p>
    <w:p w:rsidR="00C46FF5" w:rsidRDefault="004F3B8B">
      <w:pPr>
        <w:pStyle w:val="12"/>
        <w:numPr>
          <w:ilvl w:val="0"/>
          <w:numId w:val="3"/>
        </w:numPr>
        <w:autoSpaceDE w:val="0"/>
        <w:spacing w:line="100" w:lineRule="atLeast"/>
        <w:ind w:left="0" w:firstLine="0"/>
      </w:pPr>
      <w:r>
        <w:rPr>
          <w:color w:val="000000"/>
          <w:sz w:val="28"/>
          <w:szCs w:val="28"/>
        </w:rPr>
        <w:t>Инвентарная карточка учета нефинансовых активов (</w:t>
      </w:r>
      <w:r>
        <w:rPr>
          <w:color w:val="000000"/>
          <w:sz w:val="24"/>
          <w:szCs w:val="24"/>
        </w:rPr>
        <w:t xml:space="preserve">Форма по ОКУД </w:t>
      </w:r>
      <w:r>
        <w:rPr>
          <w:color w:val="000000"/>
          <w:sz w:val="28"/>
          <w:szCs w:val="24"/>
        </w:rPr>
        <w:t>0504031</w:t>
      </w:r>
      <w:r>
        <w:rPr>
          <w:color w:val="000000"/>
          <w:sz w:val="28"/>
          <w:szCs w:val="28"/>
        </w:rPr>
        <w:t>);</w:t>
      </w:r>
    </w:p>
    <w:p w:rsidR="00C46FF5" w:rsidRDefault="004F3B8B">
      <w:pPr>
        <w:pStyle w:val="12"/>
        <w:numPr>
          <w:ilvl w:val="0"/>
          <w:numId w:val="3"/>
        </w:numPr>
        <w:autoSpaceDE w:val="0"/>
        <w:spacing w:line="100" w:lineRule="atLeast"/>
        <w:ind w:left="0" w:firstLine="0"/>
      </w:pPr>
      <w:r>
        <w:rPr>
          <w:color w:val="000000"/>
          <w:sz w:val="28"/>
          <w:szCs w:val="28"/>
        </w:rPr>
        <w:t>карточка количественно-суммового учета материальных ценностей (форма по ОКУД 0504041).</w:t>
      </w:r>
    </w:p>
    <w:p w:rsidR="00C46FF5" w:rsidRDefault="00C46FF5">
      <w:pPr>
        <w:pStyle w:val="12"/>
        <w:autoSpaceDE w:val="0"/>
        <w:spacing w:line="100" w:lineRule="atLeast"/>
        <w:ind w:firstLine="0"/>
        <w:rPr>
          <w:sz w:val="20"/>
        </w:rPr>
      </w:pPr>
    </w:p>
    <w:p w:rsidR="00C46FF5" w:rsidRDefault="004F3B8B">
      <w:pPr>
        <w:pStyle w:val="Default"/>
        <w:spacing w:line="100" w:lineRule="atLeast"/>
        <w:jc w:val="both"/>
      </w:pPr>
      <w:r w:rsidRPr="00CA2EC4">
        <w:rPr>
          <w:sz w:val="28"/>
          <w:szCs w:val="28"/>
        </w:rPr>
        <w:t>Документы, сформированные начальником отдела ведения информационных данных и социальных регистров, и подписанные электронной цифровой подписью начальника Центра ПФР: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30 к Учетной политике ПФР «Реестр доставки пенсий, пособий и иных социальных выплат»;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 xml:space="preserve">Приложение 31 к Учетной политике ПФР «Реестр </w:t>
      </w:r>
      <w:r w:rsidRPr="00330D60">
        <w:rPr>
          <w:bCs/>
          <w:szCs w:val="28"/>
        </w:rPr>
        <w:t>сумм пенсий, пособий и иных социальных выплат, отозванных со счета доставщика</w:t>
      </w:r>
      <w:r w:rsidRPr="00330D60">
        <w:rPr>
          <w:szCs w:val="28"/>
        </w:rPr>
        <w:t>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32 к Учетной политике ПФР «Расчетная ведомость по начислению пенсий, пособий и иных социальных выплат»;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34 к Учетной политике ПФР «Ведомость сумм неоплаты пенсий, пособий и иных социальных выплат»;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35 к Учетной политике ПФР «Расчетная ведомость по доставке пенсий, пособий и иных социальных выплат»;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rFonts w:eastAsia="Helv" w:cs="Helv"/>
          <w:color w:val="000000"/>
          <w:szCs w:val="28"/>
        </w:rPr>
        <w:t>Приложение 36 к Учетной политике ПФР «Реестр сумм, удержанных по исполнительным документам и прочим основаниям»;</w:t>
      </w:r>
      <w:r w:rsidRPr="00330D60">
        <w:rPr>
          <w:szCs w:val="28"/>
        </w:rPr>
        <w:t xml:space="preserve"> 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46 к Учетной политике ПФР «Ведомость выявленных переплат пенсий, пособий и иных социальных выплат вследствие неправильного применения законодательства о пенсиях и пособиях, счетных ошибок»;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49 к Учетной политике ПФР «</w:t>
      </w:r>
      <w:r w:rsidRPr="00330D60">
        <w:rPr>
          <w:bCs/>
          <w:szCs w:val="28"/>
        </w:rPr>
        <w:t>Реестр</w:t>
      </w:r>
      <w:r w:rsidRPr="00330D60">
        <w:rPr>
          <w:b/>
          <w:bCs/>
          <w:szCs w:val="28"/>
        </w:rPr>
        <w:t xml:space="preserve"> </w:t>
      </w:r>
      <w:r w:rsidRPr="00330D60">
        <w:rPr>
          <w:bCs/>
          <w:szCs w:val="28"/>
        </w:rPr>
        <w:t xml:space="preserve">для начисления доходов, </w:t>
      </w:r>
      <w:proofErr w:type="spellStart"/>
      <w:r w:rsidRPr="00330D60">
        <w:rPr>
          <w:bCs/>
          <w:szCs w:val="28"/>
        </w:rPr>
        <w:t>администрируемых</w:t>
      </w:r>
      <w:proofErr w:type="spellEnd"/>
      <w:r w:rsidRPr="00330D60">
        <w:rPr>
          <w:bCs/>
          <w:szCs w:val="28"/>
        </w:rPr>
        <w:t xml:space="preserve"> ПФР</w:t>
      </w:r>
      <w:r w:rsidRPr="00330D60">
        <w:rPr>
          <w:szCs w:val="28"/>
        </w:rPr>
        <w:t>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51 к Учетной политике ПФР «Ведомость выявленных и погашенных переплат пенсий, пособий и иных социальных выплат»;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52а к Учетной политике ПФР «Реестр дебиторов»;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color w:val="000000"/>
          <w:szCs w:val="28"/>
        </w:rPr>
        <w:t>Приложение 57 к Учетной политике ПФР «Реестр сумм пенсий, пособий и иных социальных выплат, не полученных  пенсионером  в связи с переездом в другой регион»;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color w:val="000000"/>
          <w:szCs w:val="28"/>
        </w:rPr>
        <w:lastRenderedPageBreak/>
        <w:t xml:space="preserve">Приложение 59 к Учетной политике ПФР «Ведомость </w:t>
      </w:r>
      <w:r w:rsidRPr="00330D60">
        <w:rPr>
          <w:szCs w:val="28"/>
        </w:rPr>
        <w:t>выявленных и погашенных переплат пенсий, назначенных по предложению органов службы занятости, текущего года (по вине пенсионера)»;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63 к Учетной политике ПФР</w:t>
      </w:r>
      <w:r w:rsidRPr="00330D60">
        <w:rPr>
          <w:color w:val="FF0000"/>
          <w:szCs w:val="28"/>
        </w:rPr>
        <w:t xml:space="preserve">  </w:t>
      </w:r>
      <w:r w:rsidRPr="00330D60">
        <w:rPr>
          <w:szCs w:val="28"/>
        </w:rPr>
        <w:t>«Акт сверки фактически доставленных сумм пенсий и иных социальных выплат»;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color w:val="000000"/>
          <w:szCs w:val="28"/>
        </w:rPr>
        <w:t>Приложение 65 к Учетной политике ПФР «Ведомость сумм пенсий, пособий и иных социальных выплат, не включенных в доставочные документы»;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color w:val="000000"/>
          <w:szCs w:val="28"/>
        </w:rPr>
        <w:t>Приложение 69 к Учетной политике ПФР «Ведомость неполученных сумм пенсий, пособий и иных социальных выплат»;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color w:val="000000"/>
          <w:szCs w:val="28"/>
        </w:rPr>
        <w:t>Приложение 71 к Учетной политике ПФР «</w:t>
      </w:r>
      <w:r w:rsidRPr="00330D60">
        <w:rPr>
          <w:szCs w:val="28"/>
        </w:rPr>
        <w:t xml:space="preserve">Расчетная ведомость </w:t>
      </w:r>
      <w:r w:rsidRPr="00330D60">
        <w:rPr>
          <w:color w:val="000000"/>
          <w:szCs w:val="28"/>
        </w:rPr>
        <w:t>по выплате наследникам не полученных сумм пенсий, пособий и иных социальных выплат»;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color w:val="000000"/>
          <w:szCs w:val="28"/>
        </w:rPr>
        <w:t>Приложение 73 к Учетной политике ПФР «</w:t>
      </w:r>
      <w:r w:rsidRPr="00330D60">
        <w:rPr>
          <w:szCs w:val="28"/>
        </w:rPr>
        <w:t>Расчетная ведомость по доставке наследникам не полученных сумм пенсий, пособий и иных социальных выплат»;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77 к Учетной политике ПФР «Ведомость выявленных переплат пенсий, пособий и иных социальных выплат, образовавшихся в связи с их неправомерным получением со счета банковской карты»;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97 к Учетной политике ПФР «Реестр безнадежной к взысканию задолженности по платежам в бюджет ПФР, подлежащей списанию»;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98 к Учетной политике ПФР «Ведомость сумм, излишне внесенных пенсионером в счет погашения переплат  пенсий, пособий и иных социальных выплат, и не возвращенных ему»;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szCs w:val="28"/>
        </w:rPr>
        <w:t>Приложение 101 к Учетной политике ПФР «Реестр по использованию резерва предстоящих расходов по претензионным требованиям и искам на выплату пенсий, пособий и иных социальных выплат»;</w:t>
      </w:r>
    </w:p>
    <w:p w:rsidR="00C46FF5" w:rsidRPr="00330D60" w:rsidRDefault="004F3B8B">
      <w:pPr>
        <w:numPr>
          <w:ilvl w:val="0"/>
          <w:numId w:val="2"/>
        </w:numPr>
        <w:spacing w:line="100" w:lineRule="atLeast"/>
        <w:jc w:val="both"/>
        <w:rPr>
          <w:szCs w:val="28"/>
        </w:rPr>
      </w:pPr>
      <w:r w:rsidRPr="00330D60">
        <w:rPr>
          <w:color w:val="000000"/>
          <w:szCs w:val="28"/>
        </w:rPr>
        <w:t>Приложение 105 к Учетной политике ПФР «Реестр инвентаризации расчетов с прочими дебиторами и кредиторами».</w:t>
      </w:r>
    </w:p>
    <w:p w:rsidR="00C46FF5" w:rsidRPr="00330D60" w:rsidRDefault="00C46FF5">
      <w:pPr>
        <w:pStyle w:val="12"/>
        <w:spacing w:line="100" w:lineRule="atLeast"/>
        <w:ind w:firstLine="0"/>
        <w:rPr>
          <w:sz w:val="28"/>
          <w:szCs w:val="28"/>
        </w:rPr>
      </w:pPr>
    </w:p>
    <w:p w:rsidR="004F3B8B" w:rsidRDefault="004F3B8B">
      <w:pPr>
        <w:pStyle w:val="12"/>
        <w:spacing w:line="100" w:lineRule="atLeast"/>
        <w:ind w:firstLine="0"/>
        <w:jc w:val="center"/>
        <w:rPr>
          <w:sz w:val="28"/>
        </w:rPr>
      </w:pPr>
    </w:p>
    <w:sectPr w:rsidR="004F3B8B" w:rsidSect="00C46FF5">
      <w:pgSz w:w="11906" w:h="16838"/>
      <w:pgMar w:top="851" w:right="851" w:bottom="851" w:left="1134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6"/>
        <w:szCs w:val="26"/>
        <w:shd w:val="clear" w:color="auto" w:fill="auto"/>
        <w:lang w:val="ru-RU" w:eastAsia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6"/>
        <w:szCs w:val="26"/>
        <w:shd w:val="clear" w:color="auto" w:fill="auto"/>
        <w:lang w:val="ru-RU" w:eastAsia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6"/>
        <w:szCs w:val="26"/>
        <w:shd w:val="clear" w:color="auto" w:fill="auto"/>
        <w:lang w:val="ru-RU" w:eastAsia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6"/>
        <w:szCs w:val="26"/>
        <w:shd w:val="clear" w:color="auto" w:fill="auto"/>
        <w:lang w:val="ru-RU" w:eastAsia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z w:val="26"/>
        <w:szCs w:val="26"/>
        <w:shd w:val="clear" w:color="auto" w:fill="auto"/>
        <w:lang w:val="ru-RU" w:eastAsia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6"/>
        <w:szCs w:val="26"/>
        <w:shd w:val="clear" w:color="auto" w:fill="auto"/>
        <w:lang w:val="ru-RU" w:eastAsia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6"/>
        <w:szCs w:val="26"/>
        <w:shd w:val="clear" w:color="auto" w:fill="auto"/>
        <w:lang w:val="ru-RU" w:eastAsia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z w:val="26"/>
        <w:szCs w:val="26"/>
        <w:shd w:val="clear" w:color="auto" w:fill="auto"/>
        <w:lang w:val="ru-RU" w:eastAsia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6"/>
        <w:szCs w:val="26"/>
        <w:shd w:val="clear" w:color="auto" w:fill="auto"/>
        <w:lang w:val="ru-RU" w:eastAsia="ru-RU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CA2EC4"/>
    <w:rsid w:val="00330D60"/>
    <w:rsid w:val="004F3B8B"/>
    <w:rsid w:val="00C46FF5"/>
    <w:rsid w:val="00CA2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F5"/>
    <w:pPr>
      <w:suppressAutoHyphens/>
    </w:pPr>
    <w:rPr>
      <w:sz w:val="28"/>
      <w:szCs w:val="24"/>
      <w:lang w:eastAsia="zh-CN"/>
    </w:rPr>
  </w:style>
  <w:style w:type="paragraph" w:styleId="3">
    <w:name w:val="heading 3"/>
    <w:basedOn w:val="a0"/>
    <w:next w:val="a1"/>
    <w:qFormat/>
    <w:rsid w:val="00C46FF5"/>
    <w:pPr>
      <w:tabs>
        <w:tab w:val="num" w:pos="0"/>
      </w:tabs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C46FF5"/>
  </w:style>
  <w:style w:type="character" w:customStyle="1" w:styleId="WW8Num1z1">
    <w:name w:val="WW8Num1z1"/>
    <w:rsid w:val="00C46FF5"/>
  </w:style>
  <w:style w:type="character" w:customStyle="1" w:styleId="WW8Num1z2">
    <w:name w:val="WW8Num1z2"/>
    <w:rsid w:val="00C46FF5"/>
  </w:style>
  <w:style w:type="character" w:customStyle="1" w:styleId="WW8Num1z3">
    <w:name w:val="WW8Num1z3"/>
    <w:rsid w:val="00C46FF5"/>
  </w:style>
  <w:style w:type="character" w:customStyle="1" w:styleId="WW8Num1z4">
    <w:name w:val="WW8Num1z4"/>
    <w:rsid w:val="00C46FF5"/>
  </w:style>
  <w:style w:type="character" w:customStyle="1" w:styleId="WW8Num1z5">
    <w:name w:val="WW8Num1z5"/>
    <w:rsid w:val="00C46FF5"/>
  </w:style>
  <w:style w:type="character" w:customStyle="1" w:styleId="WW8Num1z6">
    <w:name w:val="WW8Num1z6"/>
    <w:rsid w:val="00C46FF5"/>
  </w:style>
  <w:style w:type="character" w:customStyle="1" w:styleId="WW8Num1z7">
    <w:name w:val="WW8Num1z7"/>
    <w:rsid w:val="00C46FF5"/>
  </w:style>
  <w:style w:type="character" w:customStyle="1" w:styleId="WW8Num1z8">
    <w:name w:val="WW8Num1z8"/>
    <w:rsid w:val="00C46FF5"/>
  </w:style>
  <w:style w:type="character" w:customStyle="1" w:styleId="WW8Num2z0">
    <w:name w:val="WW8Num2z0"/>
    <w:rsid w:val="00C46FF5"/>
    <w:rPr>
      <w:rFonts w:ascii="Symbol" w:hAnsi="Symbol" w:cs="OpenSymbol"/>
      <w:color w:val="000000"/>
      <w:sz w:val="26"/>
      <w:szCs w:val="26"/>
      <w:shd w:val="clear" w:color="auto" w:fill="auto"/>
      <w:lang w:val="ru-RU" w:eastAsia="ru-RU"/>
    </w:rPr>
  </w:style>
  <w:style w:type="character" w:customStyle="1" w:styleId="WW8Num3z0">
    <w:name w:val="WW8Num3z0"/>
    <w:rsid w:val="00C46FF5"/>
    <w:rPr>
      <w:rFonts w:ascii="Symbol" w:hAnsi="Symbol" w:cs="OpenSymbol"/>
      <w:color w:val="000000"/>
      <w:sz w:val="28"/>
      <w:szCs w:val="28"/>
    </w:rPr>
  </w:style>
  <w:style w:type="character" w:customStyle="1" w:styleId="2">
    <w:name w:val="Основной шрифт абзаца2"/>
    <w:rsid w:val="00C46FF5"/>
  </w:style>
  <w:style w:type="character" w:customStyle="1" w:styleId="1">
    <w:name w:val="Основной шрифт абзаца1"/>
    <w:rsid w:val="00C46FF5"/>
  </w:style>
  <w:style w:type="character" w:styleId="a5">
    <w:name w:val="page number"/>
    <w:basedOn w:val="1"/>
    <w:rsid w:val="00C46FF5"/>
  </w:style>
  <w:style w:type="character" w:customStyle="1" w:styleId="a6">
    <w:name w:val="Текст выноски Знак"/>
    <w:rsid w:val="00C46FF5"/>
    <w:rPr>
      <w:rFonts w:ascii="Tahoma" w:hAnsi="Tahoma" w:cs="Tahoma"/>
      <w:sz w:val="16"/>
      <w:szCs w:val="16"/>
    </w:rPr>
  </w:style>
  <w:style w:type="character" w:customStyle="1" w:styleId="WW8Num10z0">
    <w:name w:val="WW8Num10z0"/>
    <w:rsid w:val="00C46FF5"/>
    <w:rPr>
      <w:color w:val="000000"/>
      <w:sz w:val="26"/>
      <w:szCs w:val="26"/>
    </w:rPr>
  </w:style>
  <w:style w:type="character" w:customStyle="1" w:styleId="WW8Num10z1">
    <w:name w:val="WW8Num10z1"/>
    <w:rsid w:val="00C46FF5"/>
  </w:style>
  <w:style w:type="character" w:customStyle="1" w:styleId="a7">
    <w:name w:val="Маркеры списка"/>
    <w:rsid w:val="00C46FF5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C46FF5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1">
    <w:name w:val="Body Text"/>
    <w:basedOn w:val="a"/>
    <w:rsid w:val="00C46FF5"/>
    <w:pPr>
      <w:spacing w:after="120"/>
    </w:pPr>
  </w:style>
  <w:style w:type="paragraph" w:styleId="a8">
    <w:name w:val="List"/>
    <w:basedOn w:val="a1"/>
    <w:rsid w:val="00C46FF5"/>
    <w:rPr>
      <w:rFonts w:cs="Mangal"/>
    </w:rPr>
  </w:style>
  <w:style w:type="paragraph" w:styleId="a9">
    <w:name w:val="caption"/>
    <w:basedOn w:val="a"/>
    <w:qFormat/>
    <w:rsid w:val="00C46FF5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20">
    <w:name w:val="Указатель2"/>
    <w:basedOn w:val="a"/>
    <w:rsid w:val="00C46FF5"/>
    <w:pPr>
      <w:suppressLineNumbers/>
    </w:pPr>
    <w:rPr>
      <w:rFonts w:cs="Mangal"/>
    </w:rPr>
  </w:style>
  <w:style w:type="paragraph" w:customStyle="1" w:styleId="10">
    <w:name w:val="Название1"/>
    <w:basedOn w:val="a"/>
    <w:rsid w:val="00C46FF5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1">
    <w:name w:val="Указатель1"/>
    <w:basedOn w:val="a"/>
    <w:rsid w:val="00C46FF5"/>
    <w:pPr>
      <w:suppressLineNumbers/>
    </w:pPr>
    <w:rPr>
      <w:rFonts w:cs="Mangal"/>
    </w:rPr>
  </w:style>
  <w:style w:type="paragraph" w:customStyle="1" w:styleId="12">
    <w:name w:val="Обычный отступ1"/>
    <w:basedOn w:val="a"/>
    <w:rsid w:val="00C46FF5"/>
    <w:pPr>
      <w:spacing w:line="360" w:lineRule="auto"/>
      <w:ind w:firstLine="624"/>
      <w:jc w:val="both"/>
    </w:pPr>
    <w:rPr>
      <w:sz w:val="26"/>
      <w:szCs w:val="20"/>
    </w:rPr>
  </w:style>
  <w:style w:type="paragraph" w:styleId="aa">
    <w:name w:val="header"/>
    <w:basedOn w:val="a"/>
    <w:rsid w:val="00C46FF5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C46FF5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C46FF5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C46FF5"/>
    <w:pPr>
      <w:suppressLineNumbers/>
    </w:pPr>
  </w:style>
  <w:style w:type="paragraph" w:customStyle="1" w:styleId="ae">
    <w:name w:val="Заголовок таблицы"/>
    <w:basedOn w:val="ad"/>
    <w:rsid w:val="00C46FF5"/>
    <w:pPr>
      <w:jc w:val="center"/>
    </w:pPr>
    <w:rPr>
      <w:b/>
      <w:bCs/>
    </w:rPr>
  </w:style>
  <w:style w:type="paragraph" w:customStyle="1" w:styleId="Default">
    <w:name w:val="Default"/>
    <w:basedOn w:val="a"/>
    <w:rsid w:val="00C46FF5"/>
    <w:pPr>
      <w:autoSpaceDE w:val="0"/>
    </w:pPr>
    <w:rPr>
      <w:color w:val="000000"/>
      <w:sz w:val="24"/>
      <w:lang w:bidi="hi-IN"/>
    </w:rPr>
  </w:style>
  <w:style w:type="paragraph" w:styleId="af">
    <w:name w:val="Normal (Web)"/>
    <w:basedOn w:val="a"/>
    <w:rsid w:val="00C46FF5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615</Words>
  <Characters>3509</Characters>
  <Application>Microsoft Office Word</Application>
  <DocSecurity>0</DocSecurity>
  <Lines>29</Lines>
  <Paragraphs>8</Paragraphs>
  <ScaleCrop>false</ScaleCrop>
  <Company>PFR034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Выборнова</dc:creator>
  <cp:lastModifiedBy>034Biltyaevaog1</cp:lastModifiedBy>
  <cp:revision>3</cp:revision>
  <cp:lastPrinted>1995-11-21T10:41:00Z</cp:lastPrinted>
  <dcterms:created xsi:type="dcterms:W3CDTF">2020-04-10T04:38:00Z</dcterms:created>
  <dcterms:modified xsi:type="dcterms:W3CDTF">2020-04-29T01:59:00Z</dcterms:modified>
</cp:coreProperties>
</file>