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62F" w:rsidRDefault="00FB462F" w:rsidP="00796133">
      <w:pPr>
        <w:pStyle w:val="1"/>
        <w:spacing w:before="0"/>
        <w:jc w:val="center"/>
      </w:pPr>
      <w:r>
        <w:t>Предупредительные меры по сокращению производственного травматизма и профессиональных заболеваний</w:t>
      </w:r>
    </w:p>
    <w:p w:rsidR="00796133" w:rsidRPr="00796133" w:rsidRDefault="00796133" w:rsidP="00796133">
      <w:pPr>
        <w:rPr>
          <w:sz w:val="12"/>
          <w:szCs w:val="12"/>
        </w:rPr>
      </w:pPr>
    </w:p>
    <w:p w:rsidR="00FB462F" w:rsidRDefault="00FB462F" w:rsidP="00FB462F">
      <w:pPr>
        <w:pStyle w:val="a5"/>
        <w:spacing w:before="0" w:beforeAutospacing="0"/>
        <w:jc w:val="center"/>
      </w:pPr>
      <w:r>
        <w:rPr>
          <w:rStyle w:val="a6"/>
        </w:rPr>
        <w:t>Финансирование предупредительных мер на проведение мероприятий по сокращению производственного травматизма и профессиональных заболеваний в 202</w:t>
      </w:r>
      <w:r w:rsidR="00796133">
        <w:rPr>
          <w:rStyle w:val="a6"/>
        </w:rPr>
        <w:t>4</w:t>
      </w:r>
      <w:r>
        <w:rPr>
          <w:rStyle w:val="a6"/>
        </w:rPr>
        <w:t xml:space="preserve"> году</w:t>
      </w:r>
    </w:p>
    <w:p w:rsidR="00FB462F" w:rsidRDefault="00FB462F" w:rsidP="00FB462F">
      <w:pPr>
        <w:pStyle w:val="a5"/>
        <w:spacing w:before="0" w:beforeAutospacing="0"/>
      </w:pPr>
      <w:r>
        <w:rPr>
          <w:rStyle w:val="a6"/>
        </w:rPr>
        <w:t>Нормативно-правовые акты</w:t>
      </w:r>
    </w:p>
    <w:p w:rsidR="00FB462F" w:rsidRDefault="00FB462F" w:rsidP="00796133">
      <w:pPr>
        <w:pStyle w:val="a5"/>
        <w:spacing w:before="0" w:beforeAutospacing="0"/>
      </w:pPr>
      <w:r w:rsidRPr="00320BC9">
        <w:t>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(к приказу Министерства труда и социальной защиты Российской Федерации от 14 июля 2021 г. N 467н)</w:t>
      </w:r>
    </w:p>
    <w:p w:rsidR="00FB462F" w:rsidRDefault="00FB462F" w:rsidP="00FB462F">
      <w:pPr>
        <w:pStyle w:val="a5"/>
        <w:spacing w:before="0" w:beforeAutospacing="0"/>
      </w:pPr>
      <w:r>
        <w:rPr>
          <w:rStyle w:val="a6"/>
        </w:rPr>
        <w:t> Расчет суммы финансового обеспечения</w:t>
      </w:r>
    </w:p>
    <w:p w:rsidR="00FB462F" w:rsidRDefault="00FB462F" w:rsidP="00796133">
      <w:pPr>
        <w:pStyle w:val="a5"/>
        <w:spacing w:before="0" w:beforeAutospacing="0"/>
        <w:jc w:val="both"/>
      </w:pPr>
      <w:r>
        <w:t>Финансовое обеспечение предупредительных мер осуществляется страхователем за счёт собственных средств с последующим возмещением произведенных им расходов за счет средств бюджета Фонда пенсионного и социального страхования Российской Федерации (далее- Фонд) в пределах суммы, согласованной с территориальным органом Фонда на эти цели, но не более суммы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FB462F" w:rsidRDefault="00FB462F" w:rsidP="00796133">
      <w:pPr>
        <w:pStyle w:val="a5"/>
        <w:spacing w:before="0" w:beforeAutospacing="0"/>
        <w:jc w:val="both"/>
      </w:pPr>
      <w:r>
        <w:t>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FB462F" w:rsidRDefault="00FB462F" w:rsidP="00796133">
      <w:pPr>
        <w:pStyle w:val="a5"/>
        <w:spacing w:before="0" w:beforeAutospacing="0"/>
        <w:jc w:val="both"/>
      </w:pPr>
      <w:r>
        <w:t>Объём средств может быть увеличен до 30 процентов сумм страховых взносов при условии направления страхователем дополнительного объёма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FB462F" w:rsidRDefault="00FB462F" w:rsidP="00FB462F">
      <w:pPr>
        <w:pStyle w:val="a5"/>
        <w:spacing w:before="0" w:beforeAutospacing="0"/>
      </w:pPr>
      <w:r>
        <w:t xml:space="preserve">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w:t>
      </w:r>
      <w:r>
        <w:lastRenderedPageBreak/>
        <w:t>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FB462F" w:rsidRDefault="00FB462F" w:rsidP="00FB462F">
      <w:pPr>
        <w:pStyle w:val="a5"/>
        <w:spacing w:before="0" w:beforeAutospacing="0"/>
      </w:pPr>
      <w:r>
        <w:rPr>
          <w:rStyle w:val="a6"/>
        </w:rPr>
        <w:t>Прием заявлений и документов</w:t>
      </w:r>
    </w:p>
    <w:p w:rsidR="00FB462F" w:rsidRDefault="00FB462F" w:rsidP="00C6266F">
      <w:pPr>
        <w:pStyle w:val="a5"/>
        <w:spacing w:before="0" w:beforeAutospacing="0"/>
        <w:jc w:val="both"/>
      </w:pPr>
      <w:r>
        <w:t xml:space="preserve">С заявлением о финансовом обеспечении предупредительных мер   страхователь   обращается в территориальный орган Фонда по месту своей регистрации (Отделение Фонда пенсионного и социального страхования Российской Федерации по </w:t>
      </w:r>
      <w:r w:rsidR="00796133">
        <w:t>Республике Коми</w:t>
      </w:r>
      <w:r>
        <w:t>) в срок </w:t>
      </w:r>
      <w:r>
        <w:rPr>
          <w:rStyle w:val="a6"/>
        </w:rPr>
        <w:t>до 1 августа</w:t>
      </w:r>
      <w:r>
        <w:t> текущего календарного года. Заявление представляется страхователем либо лицом, представляющим его интересы, на бумажном носителе по адресам, размещённым на официальном сайте Фонда (www.sfr.gov.ru),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rsidR="00FB462F" w:rsidRDefault="00FB462F" w:rsidP="00FB462F">
      <w:pPr>
        <w:pStyle w:val="a5"/>
        <w:spacing w:before="0" w:beforeAutospacing="0"/>
      </w:pPr>
      <w:r>
        <w:rPr>
          <w:rStyle w:val="a6"/>
        </w:rPr>
        <w:t>Причины для отказа</w:t>
      </w:r>
    </w:p>
    <w:p w:rsidR="00FB462F" w:rsidRDefault="00FB462F" w:rsidP="00FB462F">
      <w:pPr>
        <w:pStyle w:val="a5"/>
        <w:spacing w:before="0" w:beforeAutospacing="0"/>
      </w:pPr>
      <w:r>
        <w:t>Территориальный орган Фонда принимает решение об отказе в финансовом обеспечении предупредительных мер в следующих случаях:</w:t>
      </w:r>
    </w:p>
    <w:p w:rsidR="00FB462F" w:rsidRPr="00796133" w:rsidRDefault="00FB462F" w:rsidP="00FB462F">
      <w:pPr>
        <w:numPr>
          <w:ilvl w:val="0"/>
          <w:numId w:val="1"/>
        </w:numPr>
        <w:spacing w:before="100" w:beforeAutospacing="1" w:after="100" w:afterAutospacing="1" w:line="240" w:lineRule="auto"/>
        <w:rPr>
          <w:b/>
          <w:i/>
        </w:rPr>
      </w:pPr>
      <w:r w:rsidRPr="00796133">
        <w:rPr>
          <w:b/>
          <w:i/>
        </w:rPr>
        <w:t>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FB462F" w:rsidRPr="00796133" w:rsidRDefault="00FB462F" w:rsidP="00FB462F">
      <w:pPr>
        <w:numPr>
          <w:ilvl w:val="0"/>
          <w:numId w:val="1"/>
        </w:numPr>
        <w:spacing w:before="100" w:beforeAutospacing="1" w:after="100" w:afterAutospacing="1" w:line="240" w:lineRule="auto"/>
        <w:rPr>
          <w:b/>
          <w:i/>
        </w:rPr>
      </w:pPr>
      <w:r w:rsidRPr="00796133">
        <w:rPr>
          <w:b/>
          <w:i/>
        </w:rPr>
        <w:t>представленные документы содержат недостоверную информацию;</w:t>
      </w:r>
    </w:p>
    <w:p w:rsidR="00FB462F" w:rsidRPr="00796133" w:rsidRDefault="00FB462F" w:rsidP="00FB462F">
      <w:pPr>
        <w:numPr>
          <w:ilvl w:val="0"/>
          <w:numId w:val="1"/>
        </w:numPr>
        <w:spacing w:before="100" w:beforeAutospacing="1" w:after="100" w:afterAutospacing="1" w:line="240" w:lineRule="auto"/>
        <w:rPr>
          <w:b/>
          <w:i/>
        </w:rPr>
      </w:pPr>
      <w:r w:rsidRPr="00796133">
        <w:rPr>
          <w:b/>
          <w:i/>
        </w:rPr>
        <w:t>если предусмотренные бюджетом Фонда средства на финансовое обеспечение предупредительных мер на текущий год полностью распределены;</w:t>
      </w:r>
    </w:p>
    <w:p w:rsidR="00FB462F" w:rsidRPr="00796133" w:rsidRDefault="00FB462F" w:rsidP="00FB462F">
      <w:pPr>
        <w:numPr>
          <w:ilvl w:val="0"/>
          <w:numId w:val="1"/>
        </w:numPr>
        <w:spacing w:before="100" w:beforeAutospacing="1" w:after="100" w:afterAutospacing="1" w:line="240" w:lineRule="auto"/>
        <w:rPr>
          <w:b/>
          <w:i/>
        </w:rPr>
      </w:pPr>
      <w:r w:rsidRPr="00796133">
        <w:rPr>
          <w:b/>
          <w:i/>
        </w:rPr>
        <w:t>при представлении страхователем неполного комплекта документов.</w:t>
      </w:r>
    </w:p>
    <w:p w:rsidR="00FB462F" w:rsidRDefault="00FB462F" w:rsidP="00796133">
      <w:pPr>
        <w:pStyle w:val="a5"/>
        <w:spacing w:before="0" w:beforeAutospacing="0"/>
      </w:pPr>
      <w:r>
        <w:t>Отказ в финансовом обеспечении предупредительных мер по другим основаниям не допускается.</w:t>
      </w:r>
    </w:p>
    <w:p w:rsidR="00FB462F" w:rsidRDefault="00796133" w:rsidP="00796133">
      <w:pPr>
        <w:pStyle w:val="a5"/>
        <w:spacing w:before="0" w:beforeAutospacing="0"/>
        <w:jc w:val="both"/>
      </w:pPr>
      <w:r>
        <w:t>С</w:t>
      </w:r>
      <w:r w:rsidR="00FB462F">
        <w:t>трахователь в срок до </w:t>
      </w:r>
      <w:r w:rsidR="00FB462F">
        <w:rPr>
          <w:rStyle w:val="a6"/>
        </w:rPr>
        <w:t>20 ноября</w:t>
      </w:r>
      <w:r w:rsidR="00FB462F">
        <w:t>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пунктами 4 - 6 Правил, для обоснования предупредительных мер, по которым в план финансового обеспечения вносятся изменения.</w:t>
      </w:r>
    </w:p>
    <w:p w:rsidR="00FB462F" w:rsidRDefault="00FB462F" w:rsidP="00796133">
      <w:pPr>
        <w:pStyle w:val="a5"/>
        <w:spacing w:before="0" w:beforeAutospacing="0"/>
        <w:jc w:val="both"/>
      </w:pPr>
      <w:r>
        <w:t>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пунктом 10 Правил.</w:t>
      </w:r>
    </w:p>
    <w:p w:rsidR="00FB462F" w:rsidRDefault="00FB462F" w:rsidP="00FB462F">
      <w:pPr>
        <w:pStyle w:val="a5"/>
        <w:spacing w:before="0" w:beforeAutospacing="0"/>
      </w:pPr>
      <w:r w:rsidRPr="00C6266F">
        <w:rPr>
          <w:rStyle w:val="a6"/>
          <w:color w:val="FF0000"/>
        </w:rPr>
        <w:lastRenderedPageBreak/>
        <w:t>ВНИМАНИЕ!</w:t>
      </w:r>
      <w:r w:rsidRPr="00C6266F">
        <w:rPr>
          <w:color w:val="FF0000"/>
        </w:rPr>
        <w:t> </w:t>
      </w:r>
      <w:r w:rsidRPr="00C6266F">
        <w:rPr>
          <w:rStyle w:val="a6"/>
          <w:color w:val="FF0000"/>
        </w:rPr>
        <w:t>В случае неполного использования указанных средств страхователь сообщает об этом в территориальный орган Фонда по месту своей регистрации до 10 октября текущего года.</w:t>
      </w:r>
    </w:p>
    <w:p w:rsidR="00FB462F" w:rsidRDefault="00FB462F" w:rsidP="00796133">
      <w:pPr>
        <w:pStyle w:val="a5"/>
        <w:spacing w:before="0" w:beforeAutospacing="0"/>
        <w:jc w:val="both"/>
      </w:pPr>
      <w:r>
        <w:t>Для возмещения произведенных страхователем расходов на оплату предупредительных мер необходимо обратиться в территориальный орган Фонда по месту регистрации с представлением </w:t>
      </w:r>
      <w:r w:rsidRPr="00320BC9">
        <w:t>документов</w:t>
      </w:r>
      <w:r>
        <w:t>, подтверждающих произведенные расходы, </w:t>
      </w:r>
      <w:r>
        <w:rPr>
          <w:rStyle w:val="a6"/>
        </w:rPr>
        <w:t>не позднее 15 декабря соответствующего года.</w:t>
      </w:r>
    </w:p>
    <w:p w:rsidR="00FB462F" w:rsidRPr="00796133" w:rsidRDefault="00FB462F" w:rsidP="00FB462F">
      <w:pPr>
        <w:pStyle w:val="a5"/>
        <w:spacing w:before="0" w:beforeAutospacing="0"/>
        <w:rPr>
          <w:b/>
        </w:rPr>
      </w:pPr>
      <w:r w:rsidRPr="00796133">
        <w:rPr>
          <w:b/>
        </w:rPr>
        <w:t>Расходы, фактически произведенные страхователем, но не подтвержденные документами о целевом использовании средств, не подлежат возмещению.</w:t>
      </w:r>
    </w:p>
    <w:p w:rsidR="00FB462F" w:rsidRDefault="00FB462F" w:rsidP="00FB462F">
      <w:pPr>
        <w:pStyle w:val="a5"/>
        <w:spacing w:before="0" w:beforeAutospacing="0"/>
        <w:jc w:val="center"/>
      </w:pPr>
      <w:r>
        <w:rPr>
          <w:rStyle w:val="a6"/>
        </w:rPr>
        <w:t>Информация об изменениях в законодательстве!</w:t>
      </w:r>
    </w:p>
    <w:p w:rsidR="00FB462F" w:rsidRDefault="00FB462F" w:rsidP="00FB462F">
      <w:pPr>
        <w:pStyle w:val="a5"/>
        <w:spacing w:before="0" w:beforeAutospacing="0"/>
      </w:pPr>
      <w:r>
        <w:rPr>
          <w:rStyle w:val="a6"/>
        </w:rPr>
        <w:t>Обращаем внимание страхователей, что с 11.07.2023 вступил в силу Приказ от 27.02.2023 № 101н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 467н» (далее – Приказ № 101н)</w:t>
      </w:r>
    </w:p>
    <w:p w:rsidR="00FB462F" w:rsidRDefault="00FB462F" w:rsidP="00FB462F">
      <w:pPr>
        <w:pStyle w:val="a5"/>
        <w:spacing w:before="0" w:beforeAutospacing="0"/>
      </w:pPr>
      <w:r>
        <w:t>По правоприменительной реализации изменений, внесенных Приказом № 101н в Правила финансового обеспечения предупредительных мер, утвержденных Приказом Минтруда России от 14.07.2021 № 467н (далее - Правила) необходимо учесть следующие изменения.</w:t>
      </w:r>
    </w:p>
    <w:p w:rsidR="00FB462F" w:rsidRPr="00796133" w:rsidRDefault="00FB462F" w:rsidP="00FB462F">
      <w:pPr>
        <w:numPr>
          <w:ilvl w:val="0"/>
          <w:numId w:val="2"/>
        </w:numPr>
        <w:spacing w:before="100" w:beforeAutospacing="1" w:after="100" w:afterAutospacing="1" w:line="240" w:lineRule="auto"/>
        <w:rPr>
          <w:b/>
        </w:rPr>
      </w:pPr>
      <w:r w:rsidRPr="00796133">
        <w:rPr>
          <w:b/>
        </w:rPr>
        <w:t>По подпункту «в» пункта 3 Правил</w:t>
      </w:r>
    </w:p>
    <w:p w:rsidR="00FB462F" w:rsidRDefault="00FB462F" w:rsidP="00796133">
      <w:pPr>
        <w:pStyle w:val="a5"/>
        <w:spacing w:before="0" w:beforeAutospacing="0"/>
        <w:ind w:firstLine="360"/>
        <w:jc w:val="both"/>
      </w:pPr>
      <w:r>
        <w:t>Обучение по оказанию первой помощи пострадавшим и (или) обучение по использованию (применению) СИЗ </w:t>
      </w:r>
      <w:r>
        <w:rPr>
          <w:rStyle w:val="a6"/>
        </w:rPr>
        <w:t>за счет средств СФР</w:t>
      </w:r>
      <w:r>
        <w:t> возможно только при условии включения указанных тем в программу обучения требованиям охраны труда, а не как отдельных программ обучения.</w:t>
      </w:r>
    </w:p>
    <w:p w:rsidR="00FB462F" w:rsidRDefault="00FB462F" w:rsidP="00FB462F">
      <w:pPr>
        <w:pStyle w:val="a5"/>
        <w:spacing w:before="0" w:beforeAutospacing="0"/>
      </w:pPr>
      <w:r>
        <w:t>Также отмечаем, </w:t>
      </w:r>
      <w:r>
        <w:rPr>
          <w:rStyle w:val="a6"/>
        </w:rPr>
        <w:t>что обучение требованиям охраны</w:t>
      </w:r>
      <w:r>
        <w:t> труда и проверка знания требований охраны труда </w:t>
      </w:r>
      <w:r>
        <w:rPr>
          <w:rStyle w:val="a6"/>
        </w:rPr>
        <w:t>осуществляется с отрывом от производства.</w:t>
      </w:r>
    </w:p>
    <w:p w:rsidR="00FB462F" w:rsidRPr="00796133" w:rsidRDefault="00FB462F" w:rsidP="00FB462F">
      <w:pPr>
        <w:numPr>
          <w:ilvl w:val="0"/>
          <w:numId w:val="3"/>
        </w:numPr>
        <w:spacing w:before="100" w:beforeAutospacing="1" w:after="100" w:afterAutospacing="1" w:line="240" w:lineRule="auto"/>
        <w:rPr>
          <w:b/>
        </w:rPr>
      </w:pPr>
      <w:r w:rsidRPr="00796133">
        <w:rPr>
          <w:b/>
        </w:rPr>
        <w:t>В целях минимизации количества документов, предоставляемых страхователем для получения решения о финансовом обеспечении предупредительных мер, из перечня документов, исключены:</w:t>
      </w:r>
    </w:p>
    <w:p w:rsidR="00FB462F" w:rsidRDefault="00FB462F" w:rsidP="00FB462F">
      <w:pPr>
        <w:pStyle w:val="a5"/>
        <w:spacing w:before="0" w:beforeAutospacing="0"/>
      </w:pPr>
      <w:r>
        <w:t>- копия перечня мероприятий по улучшению условий труда работников, разработанного по результатам проведения специальной оценки условий труда (далее – СОУТ);</w:t>
      </w:r>
    </w:p>
    <w:p w:rsidR="00FB462F" w:rsidRDefault="00FB462F" w:rsidP="00FB462F">
      <w:pPr>
        <w:pStyle w:val="a5"/>
        <w:spacing w:before="0" w:beforeAutospacing="0"/>
      </w:pPr>
      <w:r>
        <w:t>- копия локального нормативного акта о создании комиссии по проведению СОУТ;</w:t>
      </w:r>
    </w:p>
    <w:p w:rsidR="00FB462F" w:rsidRDefault="00FB462F" w:rsidP="00FB462F">
      <w:pPr>
        <w:pStyle w:val="a5"/>
        <w:spacing w:before="0" w:beforeAutospacing="0"/>
      </w:pPr>
      <w:r>
        <w:t>- копии отчетов о проведении СОУТ (сводной ведомости результатов проведения СОУТ), предусмотренных п.5 и подпунктами «а», «б» и «н» п.6 Правил, соответственно.</w:t>
      </w:r>
    </w:p>
    <w:p w:rsidR="00FB462F" w:rsidRPr="00796133" w:rsidRDefault="00FB462F" w:rsidP="00FB462F">
      <w:pPr>
        <w:numPr>
          <w:ilvl w:val="0"/>
          <w:numId w:val="4"/>
        </w:numPr>
        <w:spacing w:before="100" w:beforeAutospacing="1" w:after="100" w:afterAutospacing="1" w:line="240" w:lineRule="auto"/>
        <w:rPr>
          <w:b/>
        </w:rPr>
      </w:pPr>
      <w:r w:rsidRPr="00796133">
        <w:rPr>
          <w:b/>
        </w:rPr>
        <w:t xml:space="preserve">По </w:t>
      </w:r>
      <w:proofErr w:type="spellStart"/>
      <w:r w:rsidRPr="00796133">
        <w:rPr>
          <w:b/>
        </w:rPr>
        <w:t>п.п</w:t>
      </w:r>
      <w:proofErr w:type="spellEnd"/>
      <w:r w:rsidRPr="00796133">
        <w:rPr>
          <w:b/>
        </w:rPr>
        <w:t xml:space="preserve">. «м» п.3 Правил страхователь вправе приобретать оборудование, непосредственно обеспечивающее проведение обучения по вопросам безопасного ведения работ. Для обоснования финансового обеспечения данного мероприятия страхователь предоставляет копии (выписки из) технических проектов и (или) проектной </w:t>
      </w:r>
      <w:r w:rsidRPr="00796133">
        <w:rPr>
          <w:b/>
        </w:rPr>
        <w:lastRenderedPageBreak/>
        <w:t>документации, которыми предусмотрена необходимость в приобретении страхователем соответствующего оборудования.</w:t>
      </w:r>
    </w:p>
    <w:p w:rsidR="00FB462F" w:rsidRDefault="00FB462F" w:rsidP="00796133">
      <w:pPr>
        <w:pStyle w:val="a5"/>
        <w:spacing w:before="0" w:beforeAutospacing="0"/>
        <w:ind w:firstLine="360"/>
        <w:jc w:val="both"/>
      </w:pPr>
      <w:r>
        <w:t>Кроме того, данная </w:t>
      </w:r>
      <w:r>
        <w:rPr>
          <w:rStyle w:val="a6"/>
        </w:rPr>
        <w:t>организация должна быть аккредитована</w:t>
      </w:r>
      <w:r>
        <w:t> и зарегистрирована в реестре организаций и индивидуальных предпринимателей, оказывающих услуги в области охраны труда </w:t>
      </w:r>
      <w:r>
        <w:rPr>
          <w:rStyle w:val="a6"/>
        </w:rPr>
        <w:t>(в части обучения по охране труда)</w:t>
      </w:r>
      <w:r>
        <w:t>. Программное обеспечение для работы оборудования, должно иметь государственную регистрацию в реестре российского программного обеспечения, формирование и ведение которых осуществляется Министерством цифрового развития, связи и массовых коммуникаций РФ.</w:t>
      </w:r>
    </w:p>
    <w:p w:rsidR="00FB462F" w:rsidRDefault="00FB462F" w:rsidP="00FB462F">
      <w:pPr>
        <w:numPr>
          <w:ilvl w:val="0"/>
          <w:numId w:val="5"/>
        </w:numPr>
        <w:spacing w:before="100" w:beforeAutospacing="1" w:after="100" w:afterAutospacing="1" w:line="240" w:lineRule="auto"/>
        <w:rPr>
          <w:b/>
        </w:rPr>
      </w:pPr>
      <w:r w:rsidRPr="00796133">
        <w:rPr>
          <w:b/>
        </w:rPr>
        <w:t>Обращаем особое внимание, что компенсационные выплаты в размере, эквивалентном стоимости молока или других равноценных пищевых продуктов, предусмотренные нормативным правовым актом, за счет средств СФР не предусмотрены.</w:t>
      </w:r>
    </w:p>
    <w:p w:rsidR="00796133" w:rsidRPr="00796133" w:rsidRDefault="00796133" w:rsidP="00796133">
      <w:pPr>
        <w:spacing w:before="100" w:beforeAutospacing="1" w:after="100" w:afterAutospacing="1" w:line="240" w:lineRule="auto"/>
        <w:ind w:left="720"/>
        <w:rPr>
          <w:b/>
          <w:sz w:val="12"/>
          <w:szCs w:val="12"/>
        </w:rPr>
      </w:pPr>
    </w:p>
    <w:p w:rsidR="00FB462F" w:rsidRPr="002F0862" w:rsidRDefault="00FB462F" w:rsidP="00796133">
      <w:pPr>
        <w:numPr>
          <w:ilvl w:val="0"/>
          <w:numId w:val="5"/>
        </w:numPr>
        <w:spacing w:before="100" w:beforeAutospacing="1" w:after="100" w:afterAutospacing="1" w:line="240" w:lineRule="auto"/>
        <w:jc w:val="both"/>
      </w:pPr>
      <w:r w:rsidRPr="002F0862">
        <w:t>Одновременно информируем, что Приказом № 101н вносятся изменения, предусматривающие </w:t>
      </w:r>
      <w:r w:rsidRPr="002F0862">
        <w:rPr>
          <w:rStyle w:val="a6"/>
        </w:rPr>
        <w:t>право для страхователей</w:t>
      </w:r>
      <w:r w:rsidRPr="002F0862">
        <w:t>, получивших разрешение на финансовое обеспечение предупредительных мер в неполном объеме, </w:t>
      </w:r>
      <w:r w:rsidRPr="002F0862">
        <w:rPr>
          <w:rStyle w:val="a6"/>
        </w:rPr>
        <w:t>обратиться до 20 ноября текущего года с заявлением на корректировку плана финансового обеспечения и увеличение объема средств на указанные цели до 30 процентов в случае</w:t>
      </w:r>
      <w:r w:rsidRPr="002F0862">
        <w:t> </w:t>
      </w:r>
      <w:r w:rsidRPr="002F0862">
        <w:rPr>
          <w:rStyle w:val="a6"/>
        </w:rPr>
        <w:t>направления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w:t>
      </w:r>
      <w:r w:rsidRPr="002F0862">
        <w:t> в соответствии с пенсионным законодательством РФ. </w:t>
      </w:r>
      <w:r w:rsidRPr="002F0862">
        <w:rPr>
          <w:rStyle w:val="a6"/>
        </w:rPr>
        <w:t>При условии использования средств</w:t>
      </w:r>
      <w:r w:rsidRPr="002F0862">
        <w:t> на другие мероприятия </w:t>
      </w:r>
      <w:r w:rsidRPr="002F0862">
        <w:rPr>
          <w:rStyle w:val="a6"/>
        </w:rPr>
        <w:t>корректировка плана возможна</w:t>
      </w:r>
      <w:r w:rsidRPr="002F0862">
        <w:t> только </w:t>
      </w:r>
      <w:r w:rsidRPr="002F0862">
        <w:rPr>
          <w:rStyle w:val="a6"/>
        </w:rPr>
        <w:t>в пределах разрешенной суммы</w:t>
      </w:r>
      <w:r w:rsidRPr="002F0862">
        <w:t> в соответствии с согласованным отделением СФР планом финансового обеспечения.</w:t>
      </w:r>
    </w:p>
    <w:p w:rsidR="006D79D0" w:rsidRPr="00FB462F" w:rsidRDefault="006D79D0" w:rsidP="00FB462F">
      <w:bookmarkStart w:id="0" w:name="_GoBack"/>
      <w:bookmarkEnd w:id="0"/>
    </w:p>
    <w:sectPr w:rsidR="006D79D0" w:rsidRPr="00FB4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56A"/>
    <w:multiLevelType w:val="multilevel"/>
    <w:tmpl w:val="32740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1E717F"/>
    <w:multiLevelType w:val="multilevel"/>
    <w:tmpl w:val="A5AC20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A52906"/>
    <w:multiLevelType w:val="multilevel"/>
    <w:tmpl w:val="2A66F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CF1502"/>
    <w:multiLevelType w:val="multilevel"/>
    <w:tmpl w:val="5F58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677D34"/>
    <w:multiLevelType w:val="multilevel"/>
    <w:tmpl w:val="1234B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C92A4A"/>
    <w:multiLevelType w:val="multilevel"/>
    <w:tmpl w:val="2A5699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D4"/>
    <w:rsid w:val="000765E1"/>
    <w:rsid w:val="00086B1B"/>
    <w:rsid w:val="000F5DD9"/>
    <w:rsid w:val="00101331"/>
    <w:rsid w:val="0017587B"/>
    <w:rsid w:val="001923D2"/>
    <w:rsid w:val="001C51D2"/>
    <w:rsid w:val="002271F7"/>
    <w:rsid w:val="00266EA6"/>
    <w:rsid w:val="00274B2E"/>
    <w:rsid w:val="002F0862"/>
    <w:rsid w:val="00304ADC"/>
    <w:rsid w:val="00320BC9"/>
    <w:rsid w:val="00375CE3"/>
    <w:rsid w:val="003A6C79"/>
    <w:rsid w:val="003C0F8E"/>
    <w:rsid w:val="00435EDE"/>
    <w:rsid w:val="004638A1"/>
    <w:rsid w:val="004E01D3"/>
    <w:rsid w:val="005B0DF3"/>
    <w:rsid w:val="005B682A"/>
    <w:rsid w:val="00624921"/>
    <w:rsid w:val="00631123"/>
    <w:rsid w:val="006A08A7"/>
    <w:rsid w:val="006D79D0"/>
    <w:rsid w:val="007075DF"/>
    <w:rsid w:val="00766FF1"/>
    <w:rsid w:val="00796133"/>
    <w:rsid w:val="008044F0"/>
    <w:rsid w:val="0088439B"/>
    <w:rsid w:val="008A05D1"/>
    <w:rsid w:val="008E3693"/>
    <w:rsid w:val="008F3326"/>
    <w:rsid w:val="008F35AC"/>
    <w:rsid w:val="0091517B"/>
    <w:rsid w:val="009C7997"/>
    <w:rsid w:val="00A07F30"/>
    <w:rsid w:val="00A13413"/>
    <w:rsid w:val="00A45C5C"/>
    <w:rsid w:val="00A762FC"/>
    <w:rsid w:val="00A76ADD"/>
    <w:rsid w:val="00A83CDC"/>
    <w:rsid w:val="00B15000"/>
    <w:rsid w:val="00B814B2"/>
    <w:rsid w:val="00BC7B8F"/>
    <w:rsid w:val="00C4327E"/>
    <w:rsid w:val="00C558FB"/>
    <w:rsid w:val="00C6266F"/>
    <w:rsid w:val="00CB2DF5"/>
    <w:rsid w:val="00CD28BB"/>
    <w:rsid w:val="00D6243E"/>
    <w:rsid w:val="00E441D4"/>
    <w:rsid w:val="00E46AEC"/>
    <w:rsid w:val="00FB462F"/>
    <w:rsid w:val="00FB6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9F42C-4B8B-424E-A326-8C45FB6C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79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C7997"/>
    <w:rPr>
      <w:rFonts w:asciiTheme="majorHAnsi" w:eastAsiaTheme="majorEastAsia" w:hAnsiTheme="majorHAnsi" w:cstheme="majorBidi"/>
      <w:b/>
      <w:bCs/>
      <w:color w:val="365F91" w:themeColor="accent1" w:themeShade="BF"/>
      <w:sz w:val="28"/>
      <w:szCs w:val="28"/>
    </w:rPr>
  </w:style>
  <w:style w:type="character" w:styleId="a4">
    <w:name w:val="Hyperlink"/>
    <w:uiPriority w:val="99"/>
    <w:unhideWhenUsed/>
    <w:rPr>
      <w:color w:val="0000FF" w:themeColor="hyperlink"/>
      <w:u w:val="single"/>
    </w:rPr>
  </w:style>
  <w:style w:type="paragraph" w:styleId="a5">
    <w:name w:val="Normal (Web)"/>
    <w:basedOn w:val="a"/>
    <w:uiPriority w:val="99"/>
    <w:semiHidden/>
    <w:unhideWhenUsed/>
    <w:rsid w:val="00FB46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B46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2596">
      <w:bodyDiv w:val="1"/>
      <w:marLeft w:val="0"/>
      <w:marRight w:val="0"/>
      <w:marTop w:val="0"/>
      <w:marBottom w:val="0"/>
      <w:divBdr>
        <w:top w:val="none" w:sz="0" w:space="0" w:color="auto"/>
        <w:left w:val="none" w:sz="0" w:space="0" w:color="auto"/>
        <w:bottom w:val="none" w:sz="0" w:space="0" w:color="auto"/>
        <w:right w:val="none" w:sz="0" w:space="0" w:color="auto"/>
      </w:divBdr>
      <w:divsChild>
        <w:div w:id="900873464">
          <w:marLeft w:val="0"/>
          <w:marRight w:val="0"/>
          <w:marTop w:val="0"/>
          <w:marBottom w:val="0"/>
          <w:divBdr>
            <w:top w:val="none" w:sz="0" w:space="0" w:color="auto"/>
            <w:left w:val="none" w:sz="0" w:space="0" w:color="auto"/>
            <w:bottom w:val="none" w:sz="0" w:space="0" w:color="auto"/>
            <w:right w:val="none" w:sz="0" w:space="0" w:color="auto"/>
          </w:divBdr>
          <w:divsChild>
            <w:div w:id="1973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1499</Words>
  <Characters>8547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Олефир Евгения Олеговна</dc:creator>
  <cp:lastModifiedBy>Корепанов Сергей Николаевич</cp:lastModifiedBy>
  <cp:revision>3</cp:revision>
  <dcterms:created xsi:type="dcterms:W3CDTF">2024-05-07T08:06:00Z</dcterms:created>
  <dcterms:modified xsi:type="dcterms:W3CDTF">2024-05-07T08:18:00Z</dcterms:modified>
</cp:coreProperties>
</file>