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5" w:rsidRDefault="005A5175">
      <w:pPr>
        <w:pStyle w:val="ConsPlusTitlePage"/>
      </w:pPr>
      <w:bookmarkStart w:id="0" w:name="_GoBack"/>
      <w:bookmarkEnd w:id="0"/>
    </w:p>
    <w:p w:rsidR="005A5175" w:rsidRDefault="005A5175">
      <w:pPr>
        <w:pStyle w:val="ConsPlusNormal"/>
        <w:jc w:val="both"/>
        <w:outlineLvl w:val="0"/>
      </w:pPr>
    </w:p>
    <w:p w:rsidR="005A5175" w:rsidRDefault="007A3E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175" w:rsidRDefault="005A5175">
      <w:pPr>
        <w:pStyle w:val="ConsPlusTitle"/>
        <w:jc w:val="center"/>
      </w:pPr>
    </w:p>
    <w:p w:rsidR="005A5175" w:rsidRDefault="007A3E07">
      <w:pPr>
        <w:pStyle w:val="ConsPlusTitle"/>
        <w:jc w:val="center"/>
      </w:pPr>
      <w:r>
        <w:t>ПОСТАНОВЛЕНИЕ</w:t>
      </w:r>
    </w:p>
    <w:p w:rsidR="005A5175" w:rsidRDefault="007A3E07">
      <w:pPr>
        <w:pStyle w:val="ConsPlusTitle"/>
        <w:jc w:val="center"/>
      </w:pPr>
      <w:r>
        <w:t>от 1 февраля 2023 г. N 134</w:t>
      </w:r>
    </w:p>
    <w:p w:rsidR="005A5175" w:rsidRDefault="005A5175">
      <w:pPr>
        <w:pStyle w:val="ConsPlusTitle"/>
        <w:jc w:val="center"/>
      </w:pPr>
    </w:p>
    <w:p w:rsidR="005A5175" w:rsidRDefault="007A3E07">
      <w:pPr>
        <w:pStyle w:val="ConsPlusTitle"/>
        <w:jc w:val="center"/>
      </w:pPr>
      <w:r>
        <w:t>О РЕАЛИЗАЦИИ</w:t>
      </w:r>
    </w:p>
    <w:p w:rsidR="005A5175" w:rsidRDefault="007A3E07">
      <w:pPr>
        <w:pStyle w:val="ConsPlusTitle"/>
        <w:jc w:val="center"/>
      </w:pPr>
      <w:r>
        <w:t>ПИЛОТНОГО ПРОЕКТА ПО ПРОВЕДЕНИЮ ПРОФИЛАКТИКИ</w:t>
      </w:r>
    </w:p>
    <w:p w:rsidR="005A5175" w:rsidRDefault="007A3E07">
      <w:pPr>
        <w:pStyle w:val="ConsPlusTitle"/>
        <w:jc w:val="center"/>
      </w:pPr>
      <w:r>
        <w:t>ПРОФЕССИОНАЛЬНЫХ ЗАБОЛЕВАНИЙ РАБОТНИКОВ В ОТДЕЛЬНЫХ ВИДАХ</w:t>
      </w:r>
    </w:p>
    <w:p w:rsidR="005A5175" w:rsidRDefault="007A3E07">
      <w:pPr>
        <w:pStyle w:val="ConsPlusTitle"/>
        <w:jc w:val="center"/>
      </w:pPr>
      <w:r>
        <w:t>ЭКОНОМИЧЕСКОЙ ДЕЯТЕЛЬНОСТИ</w:t>
      </w:r>
    </w:p>
    <w:p w:rsidR="005A5175" w:rsidRDefault="005A5175">
      <w:pPr>
        <w:pStyle w:val="ConsPlusNormal"/>
        <w:ind w:firstLine="540"/>
        <w:jc w:val="both"/>
      </w:pPr>
    </w:p>
    <w:p w:rsidR="005A5175" w:rsidRDefault="007A3E0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6</w:t>
        </w:r>
      </w:hyperlink>
      <w:r>
        <w:t xml:space="preserve"> Федерального закона "О бюджете Фонда пенсионного и социального страхования</w:t>
      </w:r>
      <w:r>
        <w:t xml:space="preserve"> Российской Федерации на 2023 год и на плановый период 2024 и 2025 годов" Правительство Российской Федерации постановляет: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1. Реализовать с 1 марта по 31 декабря 2023 г. пилотный проект по проведению профилактики профессиональных заболеваний работников в о</w:t>
      </w:r>
      <w:r>
        <w:t>тдельных видах экономической деятельности (далее - пилотный проект).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реализации пилотного проекта по проведению профилактики профессиональных заболеваний работников в отдельных видах экономической </w:t>
      </w:r>
      <w:r>
        <w:t>деятельности.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 по завершении пилотного проекта, но не позднее чем через 6 месяцев после истечения срока его проведения, представить в Правительство Российской Федерации доклад о результатах реал</w:t>
      </w:r>
      <w:r>
        <w:t>изации пилотного проекта с оценкой его эффективности и целесообразности дальнейшего распространения на других страхователей.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пилотного проекта возложить на Министерство труда и социальной защиты Российской Федерации.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5. Настоящее</w:t>
      </w:r>
      <w:r>
        <w:t xml:space="preserve"> постановление вступает в силу с 1 марта 2023 г.</w:t>
      </w:r>
    </w:p>
    <w:p w:rsidR="005A5175" w:rsidRDefault="005A5175">
      <w:pPr>
        <w:pStyle w:val="ConsPlusNormal"/>
        <w:ind w:firstLine="540"/>
        <w:jc w:val="both"/>
      </w:pPr>
    </w:p>
    <w:p w:rsidR="005A5175" w:rsidRDefault="007A3E07">
      <w:pPr>
        <w:pStyle w:val="ConsPlusNormal"/>
        <w:jc w:val="right"/>
      </w:pPr>
      <w:r>
        <w:t>Председатель Правительства</w:t>
      </w:r>
    </w:p>
    <w:p w:rsidR="005A5175" w:rsidRDefault="007A3E07">
      <w:pPr>
        <w:pStyle w:val="ConsPlusNormal"/>
        <w:jc w:val="right"/>
      </w:pPr>
      <w:r>
        <w:t>Российской Федерации</w:t>
      </w:r>
    </w:p>
    <w:p w:rsidR="005A5175" w:rsidRDefault="007A3E07">
      <w:pPr>
        <w:pStyle w:val="ConsPlusNormal"/>
        <w:jc w:val="right"/>
      </w:pPr>
      <w:r>
        <w:t>М.МИШУСТИН</w:t>
      </w:r>
    </w:p>
    <w:p w:rsidR="005A5175" w:rsidRDefault="005A5175">
      <w:pPr>
        <w:pStyle w:val="ConsPlusNormal"/>
        <w:jc w:val="right"/>
      </w:pPr>
    </w:p>
    <w:p w:rsidR="005A5175" w:rsidRDefault="005A5175">
      <w:pPr>
        <w:pStyle w:val="ConsPlusNormal"/>
        <w:jc w:val="right"/>
      </w:pPr>
    </w:p>
    <w:p w:rsidR="005A5175" w:rsidRDefault="005A5175">
      <w:pPr>
        <w:pStyle w:val="ConsPlusNormal"/>
        <w:jc w:val="right"/>
      </w:pPr>
    </w:p>
    <w:p w:rsidR="005A5175" w:rsidRDefault="005A5175">
      <w:pPr>
        <w:pStyle w:val="ConsPlusNormal"/>
        <w:jc w:val="right"/>
      </w:pPr>
    </w:p>
    <w:p w:rsidR="005A5175" w:rsidRDefault="005A5175">
      <w:pPr>
        <w:pStyle w:val="ConsPlusNormal"/>
        <w:jc w:val="right"/>
      </w:pPr>
    </w:p>
    <w:p w:rsidR="005A5175" w:rsidRDefault="007A3E07">
      <w:pPr>
        <w:pStyle w:val="ConsPlusNormal"/>
        <w:jc w:val="right"/>
        <w:outlineLvl w:val="0"/>
      </w:pPr>
      <w:r>
        <w:t>Утверждены</w:t>
      </w:r>
    </w:p>
    <w:p w:rsidR="005A5175" w:rsidRDefault="007A3E07">
      <w:pPr>
        <w:pStyle w:val="ConsPlusNormal"/>
        <w:jc w:val="right"/>
      </w:pPr>
      <w:r>
        <w:t>постановлением Правительства</w:t>
      </w:r>
    </w:p>
    <w:p w:rsidR="005A5175" w:rsidRDefault="007A3E07">
      <w:pPr>
        <w:pStyle w:val="ConsPlusNormal"/>
        <w:jc w:val="right"/>
      </w:pPr>
      <w:r>
        <w:t>Российской Федерации</w:t>
      </w:r>
    </w:p>
    <w:p w:rsidR="005A5175" w:rsidRDefault="007A3E07">
      <w:pPr>
        <w:pStyle w:val="ConsPlusNormal"/>
        <w:jc w:val="right"/>
      </w:pPr>
      <w:r>
        <w:t>от 1 февраля 2023 г. N 134</w:t>
      </w:r>
    </w:p>
    <w:p w:rsidR="005A5175" w:rsidRDefault="005A5175">
      <w:pPr>
        <w:pStyle w:val="ConsPlusNormal"/>
        <w:jc w:val="center"/>
      </w:pPr>
    </w:p>
    <w:p w:rsidR="005A5175" w:rsidRDefault="007A3E07">
      <w:pPr>
        <w:pStyle w:val="ConsPlusTitle"/>
        <w:jc w:val="center"/>
      </w:pPr>
      <w:bookmarkStart w:id="1" w:name="P31"/>
      <w:bookmarkEnd w:id="1"/>
      <w:r>
        <w:t>ПРАВИЛА</w:t>
      </w:r>
    </w:p>
    <w:p w:rsidR="005A5175" w:rsidRDefault="007A3E07">
      <w:pPr>
        <w:pStyle w:val="ConsPlusTitle"/>
        <w:jc w:val="center"/>
      </w:pPr>
      <w:r>
        <w:t xml:space="preserve">РЕАЛИЗАЦИИ ПИЛОТНОГО ПРОЕКТА ПО ПРОВЕДЕНИЮ </w:t>
      </w:r>
      <w:r>
        <w:t>ПРОФИЛАКТИКИ</w:t>
      </w:r>
    </w:p>
    <w:p w:rsidR="005A5175" w:rsidRDefault="007A3E07">
      <w:pPr>
        <w:pStyle w:val="ConsPlusTitle"/>
        <w:jc w:val="center"/>
      </w:pPr>
      <w:r>
        <w:t>ПРОФЕССИОНАЛЬНЫХ ЗАБОЛЕВАНИЙ РАБОТНИКОВ В ОТДЕЛЬНЫХ ВИДАХ</w:t>
      </w:r>
    </w:p>
    <w:p w:rsidR="005A5175" w:rsidRDefault="007A3E07">
      <w:pPr>
        <w:pStyle w:val="ConsPlusTitle"/>
        <w:jc w:val="center"/>
      </w:pPr>
      <w:r>
        <w:t>ЭКОНОМИЧЕСКОЙ ДЕЯТЕЛЬНОСТИ</w:t>
      </w:r>
    </w:p>
    <w:p w:rsidR="005A5175" w:rsidRDefault="005A5175">
      <w:pPr>
        <w:pStyle w:val="ConsPlusNormal"/>
        <w:jc w:val="center"/>
      </w:pPr>
    </w:p>
    <w:p w:rsidR="005A5175" w:rsidRDefault="007A3E0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реализации пилотного проекта по проведению профилактики профессиональных заболеваний работников в отдельных видах эко</w:t>
      </w:r>
      <w:r>
        <w:t xml:space="preserve">номической </w:t>
      </w:r>
      <w:r>
        <w:lastRenderedPageBreak/>
        <w:t>деятельности, которые состоят в трудовых отношениях с работодателями, включенными в перечень организаций (работодателей) - участников пилотного проекта, утвержденный Фондом пенсионного и социального страхования Российской Федерации по согласован</w:t>
      </w:r>
      <w:r>
        <w:t>ию с Министерством транспорта Российской Федерации, Министерством промышленности и торговли Российской Федерации и Министерством энергетики Российской Федерации (далее</w:t>
      </w:r>
      <w:proofErr w:type="gramEnd"/>
      <w:r>
        <w:t xml:space="preserve"> соответственно - работодатель, работник, пилотный проект).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2. Целями пилотного проекта я</w:t>
      </w:r>
      <w:r>
        <w:t>вляются: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а) предупреждение профессиональных заболеваний;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б) совершенствование межведомственного взаимодействия, направленного на координацию работы по предупреждению профессиональных заболеваний работников;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в) совершенствование механизмов выявления работни</w:t>
      </w:r>
      <w:r>
        <w:t>ков с признаками воздействия на организм вредных и (или) опасных производственных факторов, профилактики профессиональных заболеваний и мониторинга состояния здоровья таких работников по результатам пилотного проекта;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г) оценка эффективности проведения про</w:t>
      </w:r>
      <w:r>
        <w:t>филактики профессиональных заболеваний работников, занятых на работах с вредными и (или) опасными производственными факторами, с выявленными ранними признаками воздействия вредных и (или) опасных производственных факторов.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Финансовому обеспечению подлеж</w:t>
      </w:r>
      <w:r>
        <w:t>ат расходы на осуществление следующих мероприятий: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а) профилактика профессиональных заболеваний работников, проводимая в реабилитационных центрах Фонда пенсионного и социального страхования Российской Федерации (далее - Фонд), в целях предупреждения развит</w:t>
      </w:r>
      <w:r>
        <w:t>ия у них профессиональных заболеваний;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б) дополнительный отпуск (сверх ежегодного оплачиваемого отпуска, установленного законодательством Российской Федерации), предоставляемый работникам на период проведения профилактики профессиональных заболеваний, с уч</w:t>
      </w:r>
      <w:r>
        <w:t>етом времени на проезд к месту проведения профилактики профессиональных заболеваний и обратно;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в) проезд работников к месту проведения профилактики профессиональных заболеваний и обратно;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г) медицинские осмотры работников по результатам профилактики профес</w:t>
      </w:r>
      <w:r>
        <w:t>сиональных заболеваний, проводимые медицинскими организациями, с которыми работодателями заключены договоры о проведении медицинских осмотров работников, в том числе периодических медицинских осмотров (далее - медицинские организации);</w:t>
      </w:r>
    </w:p>
    <w:p w:rsidR="005A5175" w:rsidRDefault="007A3E07">
      <w:pPr>
        <w:pStyle w:val="ConsPlusNormal"/>
        <w:spacing w:before="220"/>
        <w:ind w:firstLine="540"/>
        <w:jc w:val="both"/>
      </w:pPr>
      <w:proofErr w:type="gramStart"/>
      <w:r>
        <w:t xml:space="preserve">д) уплата страховых взносов, начисленных на суммы расходов работодателя, направленных на финансирование мероприятий, указанных в </w:t>
      </w:r>
      <w:hyperlink w:anchor="P43">
        <w:r>
          <w:rPr>
            <w:color w:val="0000FF"/>
          </w:rPr>
          <w:t>подпунктах "а"</w:t>
        </w:r>
      </w:hyperlink>
      <w:r>
        <w:t xml:space="preserve"> - </w:t>
      </w:r>
      <w:hyperlink w:anchor="P45">
        <w:r>
          <w:rPr>
            <w:color w:val="0000FF"/>
          </w:rPr>
          <w:t>"в"</w:t>
        </w:r>
      </w:hyperlink>
      <w:r>
        <w:t xml:space="preserve"> настоящего пункта, и перечисленных в бюджет Фонда.</w:t>
      </w:r>
      <w:proofErr w:type="gramEnd"/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Финансирование расходов на реализацию мероприятий, указанных в </w:t>
      </w:r>
      <w:hyperlink w:anchor="P42">
        <w:r>
          <w:rPr>
            <w:color w:val="0000FF"/>
          </w:rPr>
          <w:t>пункте 3</w:t>
        </w:r>
      </w:hyperlink>
      <w:r>
        <w:t xml:space="preserve"> настоящих Правил, осуществляется Фондом в соответствии с </w:t>
      </w:r>
      <w:hyperlink r:id="rId6">
        <w:r>
          <w:rPr>
            <w:color w:val="0000FF"/>
          </w:rPr>
          <w:t>частью 5 статьи 6</w:t>
        </w:r>
      </w:hyperlink>
      <w:r>
        <w:t xml:space="preserve"> Федерального закона "О бюджете Фонда пенсионного и социального страхования</w:t>
      </w:r>
      <w:r>
        <w:t xml:space="preserve"> Российской Федерации на 2023 год и на плановый период 2024 и 2025 годов" в пределах суммы 500000 тыс. рублей в составе бюджетных ассигнований, предусмотренных по целевой статье расходов "Медицинская, социальная и</w:t>
      </w:r>
      <w:proofErr w:type="gramEnd"/>
      <w:r>
        <w:t xml:space="preserve"> профессиональная реабилитация пострадавших</w:t>
      </w:r>
      <w:r>
        <w:t xml:space="preserve">, обеспечение предупредительных мер по сокращению производственного травматизма и профессиональных заболеваний" в рамках </w:t>
      </w:r>
      <w:r>
        <w:lastRenderedPageBreak/>
        <w:t>комплекса процессных мероприятий "Предоставление выплат по страховому обеспечению обязательного социального страхования" государственно</w:t>
      </w:r>
      <w:r>
        <w:t xml:space="preserve">й </w:t>
      </w:r>
      <w:hyperlink r:id="rId7">
        <w:r>
          <w:rPr>
            <w:color w:val="0000FF"/>
          </w:rPr>
          <w:t>программы</w:t>
        </w:r>
      </w:hyperlink>
      <w:r>
        <w:t xml:space="preserve"> Российской Федерации "Социальная поддержка граждан" подраздела "Социальное обеспечение н</w:t>
      </w:r>
      <w:r>
        <w:t>аселения" раздела "Социальная политика" классификации расходов бюджетов.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5. Финансовое обеспечение расходов на мероприятия, указанные в </w:t>
      </w:r>
      <w:hyperlink w:anchor="P42">
        <w:r>
          <w:rPr>
            <w:color w:val="0000FF"/>
          </w:rPr>
          <w:t>пункте 3</w:t>
        </w:r>
      </w:hyperlink>
      <w:r>
        <w:t xml:space="preserve"> настоящих Правил, осуществляется работодателем за счет собственных сре</w:t>
      </w:r>
      <w:proofErr w:type="gramStart"/>
      <w:r>
        <w:t>дств с п</w:t>
      </w:r>
      <w:proofErr w:type="gramEnd"/>
      <w:r>
        <w:t>оследую</w:t>
      </w:r>
      <w:r>
        <w:t>щим возмещением произведенных им расходов за счет средств бюджета Фонда в пределах суммы, согласованной с территориальным органом Фонда по месту его регистрации.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6. Оплата расходов, указанных в </w:t>
      </w:r>
      <w:hyperlink w:anchor="P45">
        <w:r>
          <w:rPr>
            <w:color w:val="0000FF"/>
          </w:rPr>
          <w:t>подпункте "в" пункта 3</w:t>
        </w:r>
      </w:hyperlink>
      <w:r>
        <w:t xml:space="preserve"> настоящих Пра</w:t>
      </w:r>
      <w:r>
        <w:t>вил, производится при проезде работника к месту проведения профилактики профессиональных заболеваний и обратно по фактическим расходам, подтвержденным проездными документами, но не выше стоимости проезда: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а) на железнодорожном транспорте общего пользования</w:t>
      </w:r>
      <w:r>
        <w:t xml:space="preserve"> - в купейном вагоне поездов дальнего следования всех категорий и поездах пригородного сообщения;</w:t>
      </w:r>
    </w:p>
    <w:p w:rsidR="005A5175" w:rsidRDefault="007A3E07">
      <w:pPr>
        <w:pStyle w:val="ConsPlusNormal"/>
        <w:spacing w:before="220"/>
        <w:ind w:firstLine="540"/>
        <w:jc w:val="both"/>
      </w:pPr>
      <w:proofErr w:type="gramStart"/>
      <w:r>
        <w:t>б) на морском транспорте - на местах IV и V категории кают судов транспортных линий (при наличии на судне), а при отсутствии спальных мест - на сидячих местах</w:t>
      </w:r>
      <w:r>
        <w:t>;</w:t>
      </w:r>
      <w:proofErr w:type="gramEnd"/>
    </w:p>
    <w:p w:rsidR="005A5175" w:rsidRDefault="007A3E07">
      <w:pPr>
        <w:pStyle w:val="ConsPlusNormal"/>
        <w:spacing w:before="220"/>
        <w:ind w:firstLine="540"/>
        <w:jc w:val="both"/>
      </w:pPr>
      <w:r>
        <w:t>в) на внутреннем водном транспорте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г) на автомобильном транспорте общего пользования (кроме такси);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д) на воздушном тр</w:t>
      </w:r>
      <w:r>
        <w:t>анспорте - в салоне экономического класса.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7. Участниками пилотного проекта являются: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а) Министерство труда и социальной защиты Российской Федерации;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б) Фонд и его территориальные органы по месту регистрации работодателей в качестве страхователей;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в) работ</w:t>
      </w:r>
      <w:r>
        <w:t>одатели;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г) медицинские организации;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д) реабилитационные центры Фонда.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5" w:name="P62"/>
      <w:bookmarkEnd w:id="5"/>
      <w:r>
        <w:t>8. Нуждаемость работника в профилактике профессиональных заболеваний определяется медицинскими организациями на основании результатов медицинских осмотров и сведений о состоянии здоровь</w:t>
      </w:r>
      <w:r>
        <w:t>я работников, имеющихся в медицинских организациях.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Состояния здоровья, выявляемые при обследовании работников, должны быть классифицированы кодами по Международной статистической </w:t>
      </w:r>
      <w:hyperlink r:id="rId8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 пересмотр), и относиться к таким профилям, как неврология, терапия, пульмонология, оториноларингология и </w:t>
      </w:r>
      <w:proofErr w:type="spellStart"/>
      <w:r>
        <w:t>профпатология</w:t>
      </w:r>
      <w:proofErr w:type="spellEnd"/>
      <w:r>
        <w:t>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9. При </w:t>
      </w:r>
      <w:r>
        <w:t>выявлении у работника ранних признаков воздействия вредных и (или) опасных производственных факторов и определении его нуждаемости в профилактике профессиональных заболеваний медицинская организация в течение 5 рабочих дней информирует об этом его работода</w:t>
      </w:r>
      <w:r>
        <w:t>теля.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10. Работодатели на основании информации, полученной от медицинских организаций в соответствии с </w:t>
      </w:r>
      <w:hyperlink w:anchor="P64">
        <w:r>
          <w:rPr>
            <w:color w:val="0000FF"/>
          </w:rPr>
          <w:t>пунктом 9</w:t>
        </w:r>
      </w:hyperlink>
      <w:r>
        <w:t xml:space="preserve"> настоящих Правил, формируют и утверждают списки работников, у </w:t>
      </w:r>
      <w:r>
        <w:lastRenderedPageBreak/>
        <w:t>которых по результатам медицинского осмотра выявлены ра</w:t>
      </w:r>
      <w:r>
        <w:t>нние признаки воздействия вредных и (или) опасных производственных факторов и которым рекомендовано проведение профилактики профессиональных заболеваний. Рекомендуемая форма списка работников, перечень содержащихся в нем сведений и формат определяются Фонд</w:t>
      </w:r>
      <w:r>
        <w:t>ом.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11. Работодатели представляют не позднее 15 апреля 2023 г. в территориальные органы Фонда по месту своей регистрации списки работников, предусмотренные </w:t>
      </w:r>
      <w:hyperlink w:anchor="P65">
        <w:r>
          <w:rPr>
            <w:color w:val="0000FF"/>
          </w:rPr>
          <w:t>пунктом 10</w:t>
        </w:r>
      </w:hyperlink>
      <w:r>
        <w:t xml:space="preserve"> настоящих Правил, в форме электронного документа или на бумажно</w:t>
      </w:r>
      <w:r>
        <w:t>м носителе. Списки работников, представляемые в форме электронного документа, подписываются усиленной квалифицированной электронной подписью уполномоченного лица и направляются в государственную информационную систему "Единая интегрированная информационная</w:t>
      </w:r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посредством внешних сервисов информационного взаимодействия.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12. В целях осуществления мероприятий по профилактике профессиона</w:t>
      </w:r>
      <w:r>
        <w:t xml:space="preserve">льных заболеваний работодателем заключается договор с соответствующим по нозологическому профилю специализации реабилитационным центром Фонда о проведении профилактики профессиональных заболеваний, нуждаемость в которой определена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настоящих Правил. Перечень таких реабилитационных центров Фонда определяется и доводится до сведения работодателей территориальными органами Фонда.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13. Профилактика профессиональных заболеваний проводится в реабилитационных цент</w:t>
      </w:r>
      <w:r>
        <w:t>рах Фонда в соответствии с индивидуальным планом профилактики профессиональных заболеваний (далее - индивидуальный план). Продолжительность профилактики профессиональных заболеваний составляет 18 календарных дней.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14. Индивидуальный план разрабатывается дл</w:t>
      </w:r>
      <w:r>
        <w:t xml:space="preserve">я каждого работника, нуждающегося в профилактике профессиональных заболеваний, из числа работников, указанных в списке, утвержденном в соответствии с </w:t>
      </w:r>
      <w:hyperlink w:anchor="P65">
        <w:r>
          <w:rPr>
            <w:color w:val="0000FF"/>
          </w:rPr>
          <w:t>пунктом 10</w:t>
        </w:r>
      </w:hyperlink>
      <w:r>
        <w:t xml:space="preserve"> настоящих Правил, реабилитационным центром Фонда, в который направляе</w:t>
      </w:r>
      <w:r>
        <w:t>тся работник, и в течение 5 рабочих дней доводится до медицинской организации. Рекомендуемая форма индивидуального плана определяется Фондом.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15. В индивидуальный план включаются необходимые профилактические мероприятия, методики и средства, применяемые пр</w:t>
      </w:r>
      <w:r>
        <w:t>и проведении профилактики профессиональных заболеваний, направленные на исключение или минимизацию рисков развития профессионального заболевания, с целью последующего возвращения работника к труду.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16. Работодатель согласовывает с реабилитационным центром </w:t>
      </w:r>
      <w:r>
        <w:t>Фонда, с которым у него заключен договор о проведении профилактики профессиональных заболеваний, графики прохождения работниками такой профилактики.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17. При поступлении работника в реабилитационный центр Фонда на профилактику профессиональных заболеваний е</w:t>
      </w:r>
      <w:r>
        <w:t>му разъясняется содержание индивидуального плана и оформляется информированное добровольное согласие на медицинское вмешательство или отказ от отдельных видов медицинского вмешательства, определенных индивидуальным планом.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18. Работодатель либо уполномоченное им лицо представляет до 1 июля 2023 г. в территориальный орган Фонда по месту своей регистрации заявление о финансовом обеспечении расходов на мероприятия, указанные в </w:t>
      </w:r>
      <w:hyperlink w:anchor="P42">
        <w:r>
          <w:rPr>
            <w:color w:val="0000FF"/>
          </w:rPr>
          <w:t>пункте 3</w:t>
        </w:r>
      </w:hyperlink>
      <w:r>
        <w:t xml:space="preserve"> настоящих Правил</w:t>
      </w:r>
      <w:r>
        <w:t>, рекомендуемая форма которого определяется Фондом, с приложением следующих документов: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а) план финансового обеспечения мероприятий по форме, определенной Фондом;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б) копия документа медицинской организации, обосновывающего направление работника на </w:t>
      </w:r>
      <w:r>
        <w:t>профилактику профессиональных заболеваний, заверенная в установленном порядке;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lastRenderedPageBreak/>
        <w:t>в) список работников, направляемых в реабилитационные центры Фонда для проведения профилактики профессиональных заболеваний;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г) копия договора с реабилитационным центром Фонда, </w:t>
      </w:r>
      <w:r>
        <w:t>заверенная в установленном порядке;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д) копия договора (соглашения) или иного документа о проведении медицинской организацией медицинского осмотра работников после профилактики профессиональных заболеваний, содержащего сведения о стоимости медицинского осмо</w:t>
      </w:r>
      <w:r>
        <w:t>тра, заверенная в установленном порядке;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е) письменное согласие работника на обработку персональных данных.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19. Решение о финансовом обеспечении расходов или об отказе в финансовом обеспечении расходов принимается территориальным органом Фонда в течение 10</w:t>
      </w:r>
      <w:r>
        <w:t xml:space="preserve"> рабочих дней со дня получения заявления и документов, указанных в </w:t>
      </w:r>
      <w:hyperlink w:anchor="P73">
        <w:r>
          <w:rPr>
            <w:color w:val="0000FF"/>
          </w:rPr>
          <w:t>пункте 18</w:t>
        </w:r>
      </w:hyperlink>
      <w:r>
        <w:t xml:space="preserve"> настоящих Правил.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20. Решение о финансовом обеспечении расходов или об отказе в финансовом обеспечении расходов оформляется приказом территориального орг</w:t>
      </w:r>
      <w:r>
        <w:t xml:space="preserve">ана Фонда и в течение 3 рабочих дней </w:t>
      </w:r>
      <w:proofErr w:type="gramStart"/>
      <w:r>
        <w:t>с даты</w:t>
      </w:r>
      <w:proofErr w:type="gramEnd"/>
      <w:r>
        <w:t xml:space="preserve"> его подписания направляется работодателю (в случае принятия решения об отказе в финансовом обеспечении расходов - с обоснованием причин отказа).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21. Территориальный орган Фонда принимает решение об отказе в финан</w:t>
      </w:r>
      <w:r>
        <w:t>совом обеспечении расходов в следующих случаях: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а) представленные работодателем документы содержат недостоверную информацию;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б) предусмотренные бюджетом Фонда средства на финансовое обеспечение расходов работодателя на текущий год полностью распределены;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в</w:t>
      </w:r>
      <w:r>
        <w:t>) работодателем представлен неполный комплект документов.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22. Отказ в финансовом обеспечении расходов по другим основаниям не допускается. Работодатель вправе повторно, но не позднее срока, предусмотренного </w:t>
      </w:r>
      <w:hyperlink w:anchor="P73">
        <w:r>
          <w:rPr>
            <w:color w:val="0000FF"/>
          </w:rPr>
          <w:t>пунктом 18</w:t>
        </w:r>
      </w:hyperlink>
      <w:r>
        <w:t xml:space="preserve"> настоящих Пр</w:t>
      </w:r>
      <w:r>
        <w:t>авил, обратиться с заявлением в территориальный орган Фонда по месту своей регистрации.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23. После получения решения территориального органа Фонда о финансовом обеспечении расходов работодатель на основании согласованных графиков прохождения работниками про</w:t>
      </w:r>
      <w:r>
        <w:t>филактики профессиональных заболеваний предоставляет этим работникам дополнительный отпуск (сверх ежегодного оплачиваемого отпуска, установленного законодательством Российской Федерации) на период проведения профилактики профессиональных заболеваний с учет</w:t>
      </w:r>
      <w:r>
        <w:t>ом времени на проезд к месту ее проведения и обратно.</w:t>
      </w:r>
    </w:p>
    <w:p w:rsidR="005A5175" w:rsidRDefault="007A3E07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24. </w:t>
      </w:r>
      <w:proofErr w:type="gramStart"/>
      <w:r>
        <w:t xml:space="preserve">После выполнения мероприятий, предусмотренных </w:t>
      </w:r>
      <w:hyperlink w:anchor="P42">
        <w:r>
          <w:rPr>
            <w:color w:val="0000FF"/>
          </w:rPr>
          <w:t>пунктом 3</w:t>
        </w:r>
      </w:hyperlink>
      <w:r>
        <w:t xml:space="preserve"> настоящих Правил, работодатель не позднее 1 декабря 2023 г. обращается в территориальный орган Фонда по месту регист</w:t>
      </w:r>
      <w:r>
        <w:t>рации с заявлением о возмещении произведенных расходов и отчетом о реализации мероприятий по профилактике профессиональных заболеваний, формы которых определяются Фондом, а также представляет документы, подтверждающие произведенные расходы, в том числе:</w:t>
      </w:r>
      <w:proofErr w:type="gramEnd"/>
    </w:p>
    <w:p w:rsidR="005A5175" w:rsidRDefault="007A3E07">
      <w:pPr>
        <w:pStyle w:val="ConsPlusNormal"/>
        <w:spacing w:before="220"/>
        <w:ind w:firstLine="540"/>
        <w:jc w:val="both"/>
      </w:pPr>
      <w:r>
        <w:t>а)</w:t>
      </w:r>
      <w:r>
        <w:t xml:space="preserve"> документы, подтверждающие оплату профилактики профессиональных заболеваний;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б) копию приказа о предоставлении дополнительного отпуска (сверх ежегодного оплачиваемого отпуска, установленного законодательством Российской Федерации) на период проведения проф</w:t>
      </w:r>
      <w:r>
        <w:t>илактики профессиональных заболеваний с учетом времени на проезд к месту ее проведения и обратно;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lastRenderedPageBreak/>
        <w:t>в) справку-расчет о размере оплаты дополнительного отпуска и копию документа, подтверждающего оплату дополнительного отпуска;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г) документы, подтверждающие рас</w:t>
      </w:r>
      <w:r>
        <w:t>ходы на проезд к месту проведения профилактики профессиональных заболеваний и обратно, а также на оплату таких расходов;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д) документы, подтверждающие проведение и стоимость медицинских осмотров по результатам профилактики профессиональных заболеваний;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е) д</w:t>
      </w:r>
      <w:r>
        <w:t>окументы, подтверждающие начисление и оплату страховых взносов.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25. Территориальный орган Фонда в течение 3 рабочих дней со дня получения от работодателя заявления, отчета и документов, указанных в </w:t>
      </w:r>
      <w:hyperlink w:anchor="P88">
        <w:r>
          <w:rPr>
            <w:color w:val="0000FF"/>
          </w:rPr>
          <w:t>пункте 24</w:t>
        </w:r>
      </w:hyperlink>
      <w:r>
        <w:t xml:space="preserve"> настоящих Правил, прин</w:t>
      </w:r>
      <w:r>
        <w:t>имает решение о возмещении расходов за счет средств бюджета Фонда и производит перечисление средств на расчетный счет работодателя, указанный в заявлении.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26. Территориальный орган Фонда не позднее 10 декабря 2023 г. представляет в Фонд отчет о расходах, в</w:t>
      </w:r>
      <w:r>
        <w:t>озмещенных территориальным органом Фонда работодателям в рамках финансирования мероприятий, связанных с организацией профилактики профессиональных заболеваний.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27. Расходы, фактически произведенные работодателем, но не подтвержденные документами о целевом </w:t>
      </w:r>
      <w:r>
        <w:t>использовании средств, не подлежат возмещению.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целевым использованием средств, выделенных на реализацию пилотного проекта, осуществляется в порядке, установленном законодательством Российской Федерации.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29. Реабилитационный центр Фонда в те</w:t>
      </w:r>
      <w:r>
        <w:t>чение 3 рабочих дней после завершения профилактики профессиональных заболеваний направляет информацию о результатах реализации мероприятий индивидуального плана в медицинскую организацию, определившую нуждаемость работника в профилактике профессиональных з</w:t>
      </w:r>
      <w:r>
        <w:t>аболеваний.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30. Медицинская организация в течение 15 рабочих дней после получения из реабилитационного центра Фонда информации о результатах реализации мероприятий индивидуального плана проводит медицинские осмотры работников в целях осуществления монитори</w:t>
      </w:r>
      <w:r>
        <w:t>нга состояния их здоровья по результатам профилактики профессиональных заболеваний.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целях осуществления контроля за состоянием здоровья работника и предотвращения развития у него профессионального заболевания и других заболеваний, вызванных воздейств</w:t>
      </w:r>
      <w:r>
        <w:t>ием вредных и (или) опасных производственных факторов, медицинская организация, определившая нуждаемость работника в профилактике профессиональных заболеваний, проводит мониторинг состояния его здоровья, включающий в себя наблюдение, анализ, оценку влияния</w:t>
      </w:r>
      <w:r>
        <w:t xml:space="preserve"> выявленных ранних признаков воздействия вредных и (или) опасных производственных факторов на здоровье работника</w:t>
      </w:r>
      <w:proofErr w:type="gramEnd"/>
      <w:r>
        <w:t>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Мониторинг проводится в динамике, в том числе путем оценки изменения состояния здоровья работника до профилактики профессиональных заболев</w:t>
      </w:r>
      <w:r>
        <w:t>аний и после нее, на основе сведений о здоровье работника, имеющихся в медицинской организации, включая сведения о выявлении ранних признаков воздействия вредных и (или) опасных производственных факторов, а также о проведенной профилактике профессиональных</w:t>
      </w:r>
      <w:r>
        <w:t xml:space="preserve"> заболеваний, примененных при этом методиках и достигнутых результатах.</w:t>
      </w:r>
      <w:proofErr w:type="gramEnd"/>
    </w:p>
    <w:p w:rsidR="005A5175" w:rsidRDefault="007A3E07">
      <w:pPr>
        <w:pStyle w:val="ConsPlusNormal"/>
        <w:spacing w:before="220"/>
        <w:ind w:firstLine="540"/>
        <w:jc w:val="both"/>
      </w:pPr>
      <w:r>
        <w:t xml:space="preserve">33. Результаты мониторинга состояния здоровья работника отражаются медицинской организацией в информационных ресурсах медицинской организации, содержащих сведения о состоянии здоровья </w:t>
      </w:r>
      <w:r>
        <w:t>работников, а также направляются в Фонд.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lastRenderedPageBreak/>
        <w:t xml:space="preserve">34. Фонд осуществляет анализ сведений о состоянии здоровья работника в целях определения эффективности проведенной профилактики профессиональных </w:t>
      </w:r>
      <w:proofErr w:type="gramStart"/>
      <w:r>
        <w:t>заболеваний</w:t>
      </w:r>
      <w:proofErr w:type="gramEnd"/>
      <w:r>
        <w:t xml:space="preserve"> на основании представленных медицинской организацией резул</w:t>
      </w:r>
      <w:r>
        <w:t>ьтатов мониторинга.</w:t>
      </w:r>
    </w:p>
    <w:p w:rsidR="005A5175" w:rsidRDefault="007A3E07">
      <w:pPr>
        <w:pStyle w:val="ConsPlusNormal"/>
        <w:spacing w:before="220"/>
        <w:ind w:firstLine="540"/>
        <w:jc w:val="both"/>
      </w:pPr>
      <w:r>
        <w:t>35. Информация о результатах мониторинга состояния здоровья работников, в том числе выводы об эффективности реализации мероприятий проведенной профилактики профессиональных заболеваний, представляется Фондом в Министерство труда и социа</w:t>
      </w:r>
      <w:r>
        <w:t>льной защиты Российской Федерации.</w:t>
      </w:r>
    </w:p>
    <w:p w:rsidR="005A5175" w:rsidRDefault="005A5175">
      <w:pPr>
        <w:pStyle w:val="ConsPlusNormal"/>
        <w:ind w:firstLine="540"/>
        <w:jc w:val="both"/>
      </w:pPr>
    </w:p>
    <w:p w:rsidR="005A5175" w:rsidRDefault="005A5175">
      <w:pPr>
        <w:pStyle w:val="ConsPlusNormal"/>
        <w:ind w:firstLine="540"/>
        <w:jc w:val="both"/>
      </w:pPr>
    </w:p>
    <w:p w:rsidR="005A5175" w:rsidRDefault="005A5175"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5A5175" w:rsidRDefault="005A5175"/>
    <w:sectPr w:rsidR="005A51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5"/>
    <w:rsid w:val="005A5175"/>
    <w:rsid w:val="007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559E3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F559E3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F559E3"/>
    <w:pPr>
      <w:widowControl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559E3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F559E3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F559E3"/>
    <w:pPr>
      <w:widowControl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A3BDA08D5623BAD2AF00F84672F116A5E0A7DAA00D3BC0A447CE7850634845A6DF6359425945CA6554C458p9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A3BDA08D5623BAD2A619FF4672F115A0EAAEDCA70D3BC0A447CE7850634857A6876C501F16019C7654CD449DD9EF786AB6p4b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A3BDA08D5623BAD2A619FF4672F115A0E0ACDFA20D3BC0A447CE7850634857A6876F5B4B4741C97002951EC8D7F37374B441DB82EC27p9b6N" TargetMode="External"/><Relationship Id="rId5" Type="http://schemas.openxmlformats.org/officeDocument/2006/relationships/hyperlink" Target="consultantplus://offline/ref=1A03A3BDA08D5623BAD2A619FF4672F115A0E0ACDFA20D3BC0A447CE7850634857A6876F5B4B4741C97002951EC8D7F37374B441DB82EC27p9b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Инна Юрьевна</dc:creator>
  <cp:lastModifiedBy>Кормакова</cp:lastModifiedBy>
  <cp:revision>2</cp:revision>
  <dcterms:created xsi:type="dcterms:W3CDTF">2023-11-17T05:53:00Z</dcterms:created>
  <dcterms:modified xsi:type="dcterms:W3CDTF">2023-11-17T05:53:00Z</dcterms:modified>
  <dc:language>ru-RU</dc:language>
</cp:coreProperties>
</file>