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 w:eastAsia="Times New Roman" w:cs="Arial"/>
          <w:b/>
          <w:color w:val="212121"/>
          <w:szCs w:val="28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 w:eastAsia="Times New Roman" w:cs="Arial"/>
          <w:b/>
          <w:color w:val="212121"/>
          <w:sz w:val="26"/>
          <w:szCs w:val="26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6"/>
          <w:szCs w:val="26"/>
          <w:lang w:eastAsia="ru-RU"/>
        </w:rPr>
        <w:t>Уважаемый страхователь!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PT Astra Serif" w:hAnsi="PT Astra Serif" w:eastAsia="Times New Roman" w:cs="Arial"/>
          <w:b/>
          <w:color w:val="212121"/>
          <w:sz w:val="26"/>
          <w:szCs w:val="26"/>
          <w:lang w:eastAsia="ru-RU"/>
        </w:rPr>
      </w:pPr>
      <w:r>
        <w:rPr>
          <w:rFonts w:eastAsia="Times New Roman" w:cs="Arial" w:ascii="PT Astra Serif" w:hAnsi="PT Astra Serif"/>
          <w:b/>
          <w:color w:val="212121"/>
          <w:sz w:val="26"/>
          <w:szCs w:val="26"/>
          <w:lang w:eastAsia="ru-RU"/>
        </w:rPr>
        <w:t>Об уплате страховых взносов лицами, добровольно вступившими в правоотношения по обязательному пенсионному страхованию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Размер страховых взносов, подлежащих уплате за расчетный период - 2025 год лицами, зарегистрированными в СФР в качестве страхователей, вступивших в добровольные правоотношения по </w:t>
      </w:r>
      <w:r>
        <w:rPr>
          <w:rFonts w:cs="PT Astra Serif" w:ascii="PT Astra Serif" w:hAnsi="PT Astra Serif"/>
          <w:sz w:val="26"/>
          <w:szCs w:val="26"/>
        </w:rPr>
        <w:t>обязательному пенсионному страхованию</w:t>
      </w:r>
      <w:r>
        <w:rPr>
          <w:rFonts w:ascii="PT Astra Serif" w:hAnsi="PT Astra Serif"/>
          <w:sz w:val="26"/>
          <w:szCs w:val="26"/>
        </w:rPr>
        <w:t xml:space="preserve"> (далее – ОПС) (статья 29 Федерального закона </w:t>
      </w:r>
      <w:r>
        <w:rPr>
          <w:rFonts w:cs="PT Astra Serif" w:ascii="PT Astra Serif" w:hAnsi="PT Astra Serif"/>
          <w:sz w:val="26"/>
          <w:szCs w:val="26"/>
        </w:rPr>
        <w:t>от 15.12.2001 № 167-ФЗ «Об обязательном пенсионном страховании в Российской Федерации», далее – Закон № 167-ФЗ) составляет: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tbl>
      <w:tblPr>
        <w:tblW w:w="9513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09"/>
        <w:gridCol w:w="3684"/>
        <w:gridCol w:w="3120"/>
      </w:tblGrid>
      <w:tr>
        <w:trPr>
          <w:trHeight w:val="615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Категория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Минимальный размер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взносов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Максимальный размер взносов</w:t>
            </w:r>
          </w:p>
        </w:tc>
      </w:tr>
      <w:tr>
        <w:trPr>
          <w:trHeight w:val="1028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2"/>
              </w:rPr>
              <w:t>для лиц, поименованных в подпунктах  1-3, 5-7 пункта 1 статьи 29 Закона № 167-ФЗ</w:t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(МРОТ х тариф х 12) =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(22 440 руб. х 22% х 12) =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59 241  руб. 60 коп.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(8 х МРОТ х тариф х 12) =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(8 х 22 440 руб. х 22% х 12) =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b/>
                <w:sz w:val="22"/>
              </w:rPr>
            </w:pPr>
            <w:r>
              <w:rPr>
                <w:rFonts w:ascii="PT Astra Serif" w:hAnsi="PT Astra Serif"/>
                <w:b/>
                <w:sz w:val="22"/>
              </w:rPr>
              <w:t>473 932 руб. 80 коп.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Минимальный размер добровольных страховых взносов в 2025 году определяется как 22,0 процента минимального </w:t>
      </w:r>
      <w:hyperlink r:id="rId2">
        <w:r>
          <w:rPr>
            <w:rFonts w:ascii="PT Astra Serif" w:hAnsi="PT Astra Serif"/>
            <w:sz w:val="26"/>
            <w:szCs w:val="26"/>
          </w:rPr>
          <w:t>размера</w:t>
        </w:r>
      </w:hyperlink>
      <w:r>
        <w:rPr>
          <w:rFonts w:ascii="PT Astra Serif" w:hAnsi="PT Astra Serif"/>
          <w:sz w:val="26"/>
          <w:szCs w:val="26"/>
        </w:rPr>
        <w:t xml:space="preserve"> оплаты труда (далее – МРОТ), установленного федеральным законом на начало финансового года, за который уплачиваются страховые взносы, увеличенные в 12 раз (</w:t>
      </w:r>
      <w:hyperlink r:id="rId3">
        <w:r>
          <w:rPr>
            <w:rFonts w:ascii="PT Astra Serif" w:hAnsi="PT Astra Serif"/>
            <w:sz w:val="26"/>
            <w:szCs w:val="26"/>
          </w:rPr>
          <w:t>п. 5 ст. 29</w:t>
        </w:r>
      </w:hyperlink>
      <w:r>
        <w:rPr>
          <w:rFonts w:ascii="PT Astra Serif" w:hAnsi="PT Astra Serif"/>
          <w:sz w:val="26"/>
          <w:szCs w:val="26"/>
        </w:rPr>
        <w:t xml:space="preserve"> Закона № 167-ФЗ). </w:t>
      </w:r>
    </w:p>
    <w:p>
      <w:pPr>
        <w:pStyle w:val="Normal"/>
        <w:spacing w:lineRule="auto" w:line="240" w:before="0" w:after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МРОТ с 1 января 2025 года установлен в сумме 22 440 рублей.</w:t>
      </w:r>
    </w:p>
    <w:p>
      <w:pPr>
        <w:pStyle w:val="Normal"/>
        <w:spacing w:lineRule="auto" w:line="240" w:before="0" w:after="0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Уплата страховых взносов лицами, добровольно вступившими в правоотношения по ОПС, осуществляется через кредитные учреждения по следующим реквизитам: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Получатель: УФК по Брянской области (ОСФР по Брянской области л/с 04274Ф27010)</w:t>
      </w:r>
    </w:p>
    <w:p>
      <w:pPr>
        <w:pStyle w:val="Normal"/>
        <w:spacing w:lineRule="auto" w:line="240" w:before="0" w:after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ИНН 3201002268  КПП 325701001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Расчетный счет банка получателя 03100643000000012700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БИК 011501101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Банк получателя: ОТДЕЛЕНИЕ БРЯНСК БАНКА РОССИИ//УФК по Брянской области г. Брянск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Номер счета банка получателя: 40102810245370000019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ОКТМО 15701000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КБК 79710205000061000160  «Страховые взносы на обязательное пенсионное страхование, уплачиваемые лицами, добровольно вступившими в правоотношения по обязательному пенсионному страхованию (сумма платежа, перерасчеты, недоимка и задолженность по соответствующему платежу, в том числе по отмененному)»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При осуществлении уплаты страховых взносов для идентификации платежа необходимо указать следующие реквизиты: «Фамилия Имя Отчество»; «Адрес (по месту регистрации)»; назначение платежа - «Регистрационный номер в СФР. Добровольные страховые взносы на страховую пенсию»; «Сумма платежа».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PT Astra Serif" w:hAnsi="PT Astra Serif" w:eastAsia="Calibri" w:cs="" w:cstheme="minorBidi" w:eastAsiaTheme="minorHAnsi"/>
          <w:sz w:val="26"/>
          <w:szCs w:val="26"/>
          <w:lang w:eastAsia="en-US"/>
        </w:rPr>
      </w:pPr>
      <w:r>
        <w:rPr>
          <w:rFonts w:eastAsia="Calibri" w:cs="" w:ascii="PT Astra Serif" w:hAnsi="PT Astra Serif" w:cstheme="minorBidi" w:eastAsiaTheme="minorHAnsi"/>
          <w:sz w:val="26"/>
          <w:szCs w:val="26"/>
          <w:lang w:eastAsia="en-US"/>
        </w:rPr>
        <w:t xml:space="preserve">Уплату суммы страховых взносов необходимо произвести в срок не позднее </w:t>
      </w:r>
      <w:r>
        <w:rPr>
          <w:rFonts w:eastAsia="Calibri" w:cs="" w:ascii="PT Astra Serif" w:hAnsi="PT Astra Serif" w:cstheme="minorBidi" w:eastAsiaTheme="minorHAnsi"/>
          <w:b/>
          <w:sz w:val="26"/>
          <w:szCs w:val="26"/>
          <w:lang w:eastAsia="en-US"/>
        </w:rPr>
        <w:t>31 декабря 2025 года</w:t>
      </w:r>
      <w:r>
        <w:rPr>
          <w:rFonts w:eastAsia="Calibri" w:cs="" w:ascii="PT Astra Serif" w:hAnsi="PT Astra Serif" w:cstheme="minorBidi" w:eastAsiaTheme="minorHAnsi"/>
          <w:sz w:val="26"/>
          <w:szCs w:val="26"/>
          <w:lang w:eastAsia="en-US"/>
        </w:rPr>
        <w:t>, а в случае подачи заявления о прекращении правоотношений по ОПС - не позднее дня подачи данного заявления в территориальный орган СФР (абзац 6 пункта 5 статьи 29 Закона № 167-ФЗ).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PT Astra Serif" w:hAnsi="PT Astra Serif" w:eastAsia="Calibri" w:cs="" w:cstheme="minorBidi" w:eastAsiaTheme="minorHAnsi"/>
          <w:sz w:val="26"/>
          <w:szCs w:val="26"/>
          <w:lang w:eastAsia="en-US"/>
        </w:rPr>
      </w:pPr>
      <w:r>
        <w:rPr>
          <w:rFonts w:eastAsia="Calibri" w:cs="" w:cstheme="minorBidi" w:eastAsiaTheme="minorHAnsi" w:ascii="PT Astra Serif" w:hAnsi="PT Astra Serif"/>
          <w:sz w:val="26"/>
          <w:szCs w:val="26"/>
          <w:lang w:eastAsia="en-US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cs="PT Astra Serif" w:ascii="PT Astra Serif" w:hAnsi="PT Astra Serif"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Обращаем внимание, что получить необходимую консультацию и информационную  поддержку можно,  обратившись в региональный телеграм-чат </w:t>
      </w:r>
      <w:r>
        <w:rPr>
          <w:rFonts w:eastAsia="Times New Roman" w:cs="Times New Roman" w:ascii="PT Astra Serif" w:hAnsi="PT Astra Serif"/>
          <w:szCs w:val="28"/>
          <w:lang w:eastAsia="ru-RU"/>
        </w:rPr>
        <w:t>«Брянк СФР_страхователи»</w:t>
      </w:r>
      <w:r>
        <w:rPr>
          <w:rFonts w:ascii="PT Astra Serif" w:hAnsi="PT Astra Serif"/>
          <w:sz w:val="26"/>
          <w:szCs w:val="26"/>
        </w:rPr>
        <w:t xml:space="preserve"> в мессенджере «Telegram» по ссылке: «</w:t>
      </w:r>
      <w:hyperlink r:id="rId4">
        <w:r>
          <w:rPr>
            <w:rFonts w:ascii="PT Astra Serif" w:hAnsi="PT Astra Serif"/>
            <w:sz w:val="26"/>
            <w:szCs w:val="26"/>
          </w:rPr>
          <w:t>https://t.me/strahovatelibryansk32</w:t>
        </w:r>
      </w:hyperlink>
      <w:r>
        <w:rPr>
          <w:rFonts w:ascii="PT Astra Serif" w:hAnsi="PT Astra Serif"/>
          <w:sz w:val="26"/>
          <w:szCs w:val="26"/>
        </w:rPr>
        <w:t>»  или  позвонив   по  единому  многоканальному региональному  номеру  телефона для страхователей - 8(4832)77-06-79. График работы: понедельник-четверг - с 8:30 до 17:30, пятница - с 8:30 до 16:15, без перерыва.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Кроме того, для дистанционного обслуживания страхователей на Интернет – портале Социального фонда России создана «Экспертная система (база знаний) для консультационной поддержки страхователей». </w:t>
      </w:r>
    </w:p>
    <w:p>
      <w:pPr>
        <w:pStyle w:val="Normal"/>
        <w:spacing w:before="0"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2720975</wp:posOffset>
                </wp:positionH>
                <wp:positionV relativeFrom="paragraph">
                  <wp:posOffset>323215</wp:posOffset>
                </wp:positionV>
                <wp:extent cx="314325" cy="635"/>
                <wp:effectExtent l="1270" t="44450" r="0" b="43815"/>
                <wp:wrapNone/>
                <wp:docPr id="1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579b8"/>
                          </a:solidFill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stroked="t" o:allowincell="f" style="position:absolute;margin-left:214.25pt;margin-top:25.45pt;width:24.7pt;height:0pt;mso-wrap-style:none;v-text-anchor:middle" type="_x0000_t32">
                <v:fill o:detectmouseclick="t" on="false"/>
                <v:stroke color="#4579b8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PT Astra Serif" w:hAnsi="PT Astra Serif"/>
          <w:sz w:val="26"/>
          <w:szCs w:val="26"/>
        </w:rPr>
        <w:t>Перейти к базе знаний СФР можно на странице Отделения СФР по Брянской области в разделе «Страхователям»      «Экспертная система (база знаний) для консультационной поддержки страхователей» (</w:t>
      </w:r>
      <w:hyperlink r:id="rId5">
        <w:r>
          <w:rPr>
            <w:rFonts w:ascii="PT Astra Serif" w:hAnsi="PT Astra Serif"/>
            <w:sz w:val="26"/>
            <w:szCs w:val="26"/>
          </w:rPr>
          <w:t>https://sfr.gov.ru/branches/bryansk/info/~0/12289</w:t>
        </w:r>
      </w:hyperlink>
      <w:r>
        <w:rPr>
          <w:rFonts w:ascii="PT Astra Serif" w:hAnsi="PT Astra Serif"/>
          <w:sz w:val="26"/>
          <w:szCs w:val="26"/>
        </w:rPr>
        <w:t>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PT Astra Serif" w:hAnsi="PT Astra Serif" w:eastAsia="Calibri" w:cs="" w:cstheme="minorBidi" w:eastAsiaTheme="minorHAnsi"/>
          <w:sz w:val="26"/>
          <w:szCs w:val="26"/>
          <w:lang w:eastAsia="en-US"/>
        </w:rPr>
      </w:pPr>
      <w:r>
        <w:rPr>
          <w:rFonts w:eastAsia="Calibri" w:cs="" w:cstheme="minorBidi" w:eastAsiaTheme="minorHAnsi" w:ascii="PT Astra Serif" w:hAnsi="PT Astra Serif"/>
          <w:sz w:val="26"/>
          <w:szCs w:val="26"/>
          <w:lang w:eastAsia="en-US"/>
        </w:rPr>
      </w:r>
    </w:p>
    <w:p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Style20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Отделение  Фонда пенсионного и социального страхования </w:t>
      </w:r>
    </w:p>
    <w:p>
      <w:pPr>
        <w:pStyle w:val="Style20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Российской Федерации по Брянской области</w:t>
      </w:r>
    </w:p>
    <w:sectPr>
      <w:type w:val="nextPage"/>
      <w:pgSz w:w="11906" w:h="16838"/>
      <w:pgMar w:left="1701" w:right="851" w:gutter="0" w:header="0" w:top="249" w:footer="0" w:bottom="2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4742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da474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Body Text Indent"/>
    <w:basedOn w:val="Normal"/>
    <w:link w:val="Style14"/>
    <w:rsid w:val="00da4742"/>
    <w:pPr>
      <w:spacing w:lineRule="auto" w:line="240" w:before="0" w:after="0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ConsPlusNormal" w:customStyle="1">
    <w:name w:val="ConsPlusNormal"/>
    <w:qFormat/>
    <w:rsid w:val="00da474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b55882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CA322BDC187DB74B2A55EA2BBC2CA2D27AFBA39110D0F1937C49454DBE04454E7C5B0B58E50F51B498A4407vAJ0I" TargetMode="External"/><Relationship Id="rId3" Type="http://schemas.openxmlformats.org/officeDocument/2006/relationships/hyperlink" Target="consultantplus://offline/ref=364F28B3C61DB2C5C15B5D85E8E165B53B10050F4B2CB90A1DDD8C1F43FFDAFA0DA3187DD8562AEC93EC8842F3CCA3A4F86A1C22D5B1RAuFH" TargetMode="External"/><Relationship Id="rId4" Type="http://schemas.openxmlformats.org/officeDocument/2006/relationships/hyperlink" Target="https://t.me/strahovatelibryansk32" TargetMode="External"/><Relationship Id="rId5" Type="http://schemas.openxmlformats.org/officeDocument/2006/relationships/hyperlink" Target="https://sfr.gov.ru/branches/bryansk/info/~0/12289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LibreOffice/7.5.2.1$Linux_X86_64 LibreOffice_project/50$Build-1</Application>
  <AppVersion>15.0000</AppVersion>
  <Pages>2</Pages>
  <Words>453</Words>
  <Characters>3008</Characters>
  <CharactersWithSpaces>3457</CharactersWithSpaces>
  <Paragraphs>32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2023-01-13T12:28:00Z</dcterms:created>
  <dc:creator>Горохов Евгений Иванович</dc:creator>
  <dc:description/>
  <dc:language>ru-RU</dc:language>
  <cp:lastModifiedBy>Колачева Анастасия Васильевна</cp:lastModifiedBy>
  <dcterms:modified xsi:type="dcterms:W3CDTF">2025-02-24T11:52:00Z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