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 w:eastAsia="Times New Roman" w:cs="Arial"/>
          <w:b/>
          <w:color w:val="212121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color w:val="212121"/>
          <w:sz w:val="28"/>
          <w:szCs w:val="28"/>
          <w:lang w:eastAsia="ru-RU"/>
        </w:rPr>
        <w:t>Уважаемый страхователь!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PT Astra Serif" w:hAnsi="PT Astra Serif" w:eastAsia="Times New Roman" w:cs="Arial"/>
          <w:b/>
          <w:color w:val="212121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color w:val="212121"/>
          <w:sz w:val="28"/>
          <w:szCs w:val="28"/>
          <w:lang w:eastAsia="ru-RU"/>
        </w:rPr>
        <w:t xml:space="preserve">Реквизиты и КБК для перечисления дополнительных страховых взносов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PT Astra Serif" w:hAnsi="PT Astra Serif" w:eastAsia="Times New Roman" w:cs="Arial"/>
          <w:b/>
          <w:color w:val="212121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color w:val="212121"/>
          <w:sz w:val="28"/>
          <w:szCs w:val="28"/>
          <w:lang w:eastAsia="ru-RU"/>
        </w:rPr>
        <w:t xml:space="preserve">на накопительную пенсию и взносов работодателей в пользу застрахованных лиц, уплачивающих дополнительные страховые взносы на накопительную пенсию, административных штрафов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PT Astra Serif" w:hAnsi="PT Astra Serif" w:eastAsia="Times New Roman" w:cs="Arial"/>
          <w:b/>
          <w:color w:val="212121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color w:val="212121"/>
          <w:sz w:val="28"/>
          <w:szCs w:val="28"/>
          <w:lang w:eastAsia="ru-RU"/>
        </w:rPr>
        <w:t>и финансовых санкций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PT Astra Serif" w:hAnsi="PT Astra Serif" w:eastAsia="Times New Roman" w:cs="Arial"/>
          <w:b/>
          <w:color w:val="212121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color w:val="21212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ind w:firstLine="709"/>
        <w:jc w:val="both"/>
        <w:rPr>
          <w:rFonts w:ascii="PT Astra Serif" w:hAnsi="PT Astra Serif" w:eastAsia="Times New Roman" w:cs="Arial"/>
          <w:color w:val="212121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color w:val="212121"/>
          <w:sz w:val="28"/>
          <w:szCs w:val="28"/>
          <w:lang w:eastAsia="ru-RU"/>
        </w:rPr>
        <w:t>Перечисление дополнительных страховых взносов на накопительную пенсию и взносов работодателей в пользу застрахованных лиц, уплачивающих дополнительные страховые взносы на накопительную пенсию, административных штрафов и финансовых санкций следует производить по следующим реквизитам:</w:t>
      </w:r>
    </w:p>
    <w:tbl>
      <w:tblPr>
        <w:tblW w:w="9386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noVBand="1" w:val="04a0" w:noHBand="0" w:lastColumn="0" w:firstColumn="1" w:lastRow="0" w:firstRow="1"/>
      </w:tblPr>
      <w:tblGrid>
        <w:gridCol w:w="2868"/>
        <w:gridCol w:w="6517"/>
      </w:tblGrid>
      <w:tr>
        <w:trPr/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b/>
                <w:bCs/>
                <w:color w:val="212121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121"/>
                <w:sz w:val="28"/>
                <w:szCs w:val="28"/>
                <w:lang w:eastAsia="ru-RU"/>
              </w:rPr>
              <w:t>УФК по Брянской области (ОСФР по Брянской области, л/с 04274Ф27010)</w:t>
            </w:r>
          </w:p>
        </w:tc>
      </w:tr>
      <w:tr>
        <w:trPr/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b/>
                <w:bCs/>
                <w:color w:val="212121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121"/>
                <w:sz w:val="28"/>
                <w:szCs w:val="28"/>
                <w:lang w:eastAsia="ru-RU"/>
              </w:rPr>
              <w:t>3201002268</w:t>
            </w:r>
          </w:p>
        </w:tc>
      </w:tr>
      <w:tr>
        <w:trPr/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b/>
                <w:bCs/>
                <w:color w:val="212121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121"/>
                <w:sz w:val="28"/>
                <w:szCs w:val="28"/>
                <w:lang w:eastAsia="ru-RU"/>
              </w:rPr>
              <w:t>325701001</w:t>
            </w:r>
          </w:p>
        </w:tc>
      </w:tr>
      <w:tr>
        <w:trPr/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b/>
                <w:bCs/>
                <w:color w:val="212121"/>
                <w:sz w:val="28"/>
                <w:szCs w:val="28"/>
                <w:lang w:eastAsia="ru-RU"/>
              </w:rPr>
              <w:t>номер счета получателя (р/с)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121"/>
                <w:sz w:val="28"/>
                <w:szCs w:val="28"/>
                <w:lang w:eastAsia="ru-RU"/>
              </w:rPr>
              <w:t>03100643000000012700</w:t>
            </w:r>
          </w:p>
        </w:tc>
      </w:tr>
      <w:tr>
        <w:trPr/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b/>
                <w:bCs/>
                <w:color w:val="212121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121"/>
                <w:sz w:val="28"/>
                <w:szCs w:val="28"/>
                <w:lang w:eastAsia="ru-RU"/>
              </w:rPr>
              <w:t>011501101</w:t>
            </w:r>
          </w:p>
        </w:tc>
      </w:tr>
      <w:tr>
        <w:trPr/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b/>
                <w:bCs/>
                <w:color w:val="212121"/>
                <w:sz w:val="28"/>
                <w:szCs w:val="28"/>
                <w:lang w:eastAsia="ru-RU"/>
              </w:rPr>
              <w:t>Банк получателя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121"/>
                <w:sz w:val="28"/>
                <w:szCs w:val="28"/>
                <w:lang w:eastAsia="ru-RU"/>
              </w:rPr>
              <w:t>ОТДЕЛЕНИЕ БРЯНСК БАНКА РОССИИ//УФК по Брянской области г. Брянск</w:t>
            </w:r>
          </w:p>
        </w:tc>
      </w:tr>
      <w:tr>
        <w:trPr/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b/>
                <w:bCs/>
                <w:color w:val="212121"/>
                <w:sz w:val="28"/>
                <w:szCs w:val="28"/>
                <w:lang w:eastAsia="ru-RU"/>
              </w:rPr>
              <w:t>Номер счета банка получателя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121"/>
                <w:sz w:val="28"/>
                <w:szCs w:val="28"/>
                <w:lang w:eastAsia="ru-RU"/>
              </w:rPr>
              <w:t>40102810245370000019</w:t>
            </w:r>
          </w:p>
        </w:tc>
      </w:tr>
      <w:tr>
        <w:trPr/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b/>
                <w:bCs/>
                <w:color w:val="212121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121"/>
                <w:sz w:val="28"/>
                <w:szCs w:val="28"/>
                <w:lang w:eastAsia="ru-RU"/>
              </w:rPr>
              <w:t>15701000</w:t>
            </w:r>
          </w:p>
        </w:tc>
      </w:tr>
    </w:tbl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 w:eastAsia="Times New Roman" w:cs="Arial"/>
          <w:color w:val="212121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color w:val="21212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 w:eastAsia="Times New Roman" w:cs="Arial"/>
          <w:color w:val="212121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color w:val="212121"/>
          <w:sz w:val="28"/>
          <w:szCs w:val="28"/>
          <w:lang w:eastAsia="ru-RU"/>
        </w:rPr>
        <w:t>Коды бюджетной классификации:</w:t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84"/>
        <w:gridCol w:w="6486"/>
      </w:tblGrid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КБК</w:t>
            </w:r>
          </w:p>
        </w:tc>
        <w:tc>
          <w:tcPr>
            <w:tcW w:w="64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79711607090060001140</w:t>
            </w:r>
          </w:p>
        </w:tc>
        <w:tc>
          <w:tcPr>
            <w:tcW w:w="64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" w:ascii="PT Astra Serif" w:hAnsi="PT Astra Serif"/>
                <w:kern w:val="0"/>
                <w:sz w:val="24"/>
                <w:szCs w:val="24"/>
                <w:lang w:val="ru-RU" w:eastAsia="en-US" w:bidi="ar-SA"/>
              </w:rPr>
              <w:t>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(в части обязательного пенсионного страхования)» - для перечисления финансовых санкций, предусмотренных статьей 17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" w:ascii="PT Astra Serif" w:hAnsi="PT Astra Serif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79711601230060001140</w:t>
            </w:r>
          </w:p>
        </w:tc>
        <w:tc>
          <w:tcPr>
            <w:tcW w:w="64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" w:ascii="PT Astra Serif" w:hAnsi="PT Astra Serif"/>
                <w:kern w:val="0"/>
                <w:sz w:val="24"/>
                <w:szCs w:val="24"/>
                <w:lang w:val="ru-RU" w:eastAsia="en-US" w:bidi="ar-SA"/>
              </w:rPr>
              <w:t>«Административные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(в части обязательного пенсионного страхования)» - для перечисления административных штрафов, предусмотренных частью 1 статьи 15.33.2 Кодекса Российской Федерации об административных правонарушениях»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eastAsia="Calibri" w:cs="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79711610124010200140</w:t>
            </w:r>
          </w:p>
        </w:tc>
        <w:tc>
          <w:tcPr>
            <w:tcW w:w="64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«Доходы от денежных взысканий (штрафов), поступающие в счет погашения задолженности, образовавшейся до 1 января 2020 года, подлежащие зачислению в бюджет Фонда пенсионного и социального страхования Российской Федерации по нормативам, действовавшим в 2019 году (иные, за исключением пенсионных накоплений)»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79711607090060002140</w:t>
            </w:r>
          </w:p>
        </w:tc>
        <w:tc>
          <w:tcPr>
            <w:tcW w:w="64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«Иные штрафы, неустойки, пени, уплаченные в соответствии с законом или договором</w:t>
              <w:tab/>
              <w:t xml:space="preserve"> в случае неисполнения или ненадлежащего</w:t>
              <w:tab/>
              <w:t>исполнения обязательств перед Фондом пенсионного и социального страхования Российской Федерации (в части</w:t>
              <w:tab/>
              <w:t xml:space="preserve"> обязательного социального страхования на случай временной нетрудоспособности и в связи с материнством)» - для перечисления штрафов предусмотренных статьей 15.2 Федерального закона от 29 декабря 2006 г. № 255-ФЗ «Об обязательном социальном страховании на случай временной нетрудоспособности и в связи с материнством»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eastAsia="Calibri" w:cs="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79711601230060002140</w:t>
            </w:r>
          </w:p>
        </w:tc>
        <w:tc>
          <w:tcPr>
            <w:tcW w:w="64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" w:ascii="PT Astra Serif" w:hAnsi="PT Astra Serif"/>
                <w:kern w:val="0"/>
                <w:sz w:val="24"/>
                <w:szCs w:val="24"/>
                <w:lang w:val="ru-RU" w:eastAsia="en-US" w:bidi="ar-SA"/>
              </w:rPr>
              <w:t>«Административные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(в части обязательного социального страхования на случай временной нетрудоспособности и в связи с материнством)» - для перечисления административных штрафов, предусмотренных статьей 15.33 КоАП»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79711607090060003140</w:t>
            </w:r>
          </w:p>
        </w:tc>
        <w:tc>
          <w:tcPr>
            <w:tcW w:w="64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(в части обязательного социального страхования от несчастных случаев на производстве и профессиональных заболеваний)» - для перечисления штрафов, предусмотренных статьями 26.28, 26.31, 26.32, 26.33, 26.34 Федерального закона от 24 июля 1998 г. № 125-ФЗ «Об обязательном социальном страховании от несчастных случаев на производстве и профессиональных заболеваний»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eastAsia="Calibri" w:cs="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79711601230060003140</w:t>
            </w:r>
          </w:p>
        </w:tc>
        <w:tc>
          <w:tcPr>
            <w:tcW w:w="64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" w:ascii="PT Astra Serif" w:hAnsi="PT Astra Serif"/>
                <w:kern w:val="0"/>
                <w:sz w:val="24"/>
                <w:szCs w:val="24"/>
                <w:lang w:val="ru-RU" w:eastAsia="en-US" w:bidi="ar-SA"/>
              </w:rPr>
              <w:t>«Административные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(в части обязательного социального страхования от несчастных случаев на производстве и профессиональных заболеваний)» - для перечисления административных штрафов, предусмотренных частью 2 статьи 15.10 и статьями 15.32, 15.33 КоАП»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79711610124010300140</w:t>
            </w:r>
          </w:p>
        </w:tc>
        <w:tc>
          <w:tcPr>
            <w:tcW w:w="64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" w:ascii="PT Astra Serif" w:hAnsi="PT Astra Serif"/>
                <w:kern w:val="0"/>
                <w:sz w:val="24"/>
                <w:szCs w:val="24"/>
                <w:lang w:val="ru-RU" w:eastAsia="en-US" w:bidi="ar-SA"/>
              </w:rPr>
              <w:t>«Доходы от денежных взысканий (штрафов), поступающие в счет погашения задолженности, образовавшейся до 1 января 2020 года, подлежащие зачислению в бюджет Фонда пенсионного и социального страхования Российской Федерации по нормативам, действовавшим в 2019 году (в части обязательного социального страхования на случай временной нетрудоспособности и в связи с материнством, а также от несчастных случаев на производстве и профессиональных заболеваний)» - для перечисления задолженности по штрафам, предусмотренным Федеральными законами № 255-ФЗ и 125-ФЗ, образовавшейся до 1 января 2020 года»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eastAsia="Times New Roman" w:cs="Arial" w:ascii="PT Astra Serif" w:hAnsi="PT Astra Serif"/>
                <w:b/>
                <w:bCs/>
                <w:color w:val="212121"/>
                <w:kern w:val="0"/>
                <w:sz w:val="24"/>
                <w:szCs w:val="24"/>
                <w:lang w:val="ru-RU" w:eastAsia="ru-RU" w:bidi="ar-SA"/>
              </w:rPr>
              <w:t>79710207000061100160</w:t>
            </w:r>
          </w:p>
        </w:tc>
        <w:tc>
          <w:tcPr>
            <w:tcW w:w="64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eastAsia="Times New Roman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121"/>
                <w:kern w:val="0"/>
                <w:sz w:val="24"/>
                <w:szCs w:val="24"/>
                <w:lang w:val="ru-RU" w:eastAsia="ru-RU" w:bidi="ar-SA"/>
              </w:rPr>
              <w:t>«Дополнительные страховые 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 зачисляемые в Фонд пенсионного и социального страхования Российской Федерации (дополнительные страховые взносы на накопительную пенсию)»</w:t>
            </w:r>
          </w:p>
        </w:tc>
      </w:tr>
      <w:tr>
        <w:trPr/>
        <w:tc>
          <w:tcPr>
            <w:tcW w:w="30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eastAsia="Times New Roman" w:cs="Arial" w:ascii="PT Astra Serif" w:hAnsi="PT Astra Serif"/>
                <w:b/>
                <w:bCs/>
                <w:color w:val="212121"/>
                <w:kern w:val="0"/>
                <w:sz w:val="24"/>
                <w:szCs w:val="24"/>
                <w:lang w:val="ru-RU" w:eastAsia="ru-RU" w:bidi="ar-SA"/>
              </w:rPr>
              <w:t>79710207000061200160</w:t>
            </w:r>
          </w:p>
        </w:tc>
        <w:tc>
          <w:tcPr>
            <w:tcW w:w="64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eastAsia="Times New Roman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PT Astra Serif" w:hAnsi="PT Astra Serif"/>
                <w:color w:val="212121"/>
                <w:kern w:val="0"/>
                <w:sz w:val="24"/>
                <w:szCs w:val="24"/>
                <w:lang w:val="ru-RU" w:eastAsia="ru-RU" w:bidi="ar-SA"/>
              </w:rPr>
              <w:t>«Дополнительные страховые 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 зачисляемые в Фонд пенсионного и социального страхования Российской Федерации (взносы работодателя в пользу застрахованных лиц, уплачивающих дополнительные страховые взносы на накопительную пенсию)»</w:t>
            </w:r>
          </w:p>
        </w:tc>
      </w:tr>
    </w:tbl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 w:eastAsia="Times New Roman" w:cs="Arial"/>
          <w:color w:val="212121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color w:val="212121"/>
          <w:sz w:val="28"/>
          <w:szCs w:val="28"/>
          <w:lang w:eastAsia="ru-RU"/>
        </w:rPr>
      </w:r>
    </w:p>
    <w:p>
      <w:pPr>
        <w:pStyle w:val="Style19"/>
        <w:spacing w:lineRule="auto" w:line="27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В целях своевременного зачисления денежных средств п</w:t>
      </w:r>
      <w:r>
        <w:rPr>
          <w:rFonts w:ascii="PT Astra Serif" w:hAnsi="PT Astra Serif"/>
          <w:sz w:val="28"/>
          <w:szCs w:val="28"/>
        </w:rPr>
        <w:t>росим обеспечить их перечисление по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8"/>
          <w:szCs w:val="28"/>
        </w:rPr>
        <w:t>действующим кодам бюджетной классификации.</w:t>
      </w:r>
    </w:p>
    <w:p>
      <w:pPr>
        <w:pStyle w:val="Style19"/>
        <w:spacing w:lineRule="auto" w:line="276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Обращаем внимание, что получить необходимую консультацию и информационную  поддержку можно,  обратившись в региональный телеграм-чат «Брянк СФР_страхователи» в мессенджере «Telegram» по ссылке: </w:t>
      </w:r>
      <w:bookmarkStart w:id="0" w:name="_GoBack"/>
      <w:bookmarkEnd w:id="0"/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«</w:t>
      </w:r>
      <w:hyperlink r:id="rId2">
        <w:r>
          <w:rPr>
            <w:rFonts w:eastAsia="Times New Roman" w:cs="Times New Roman" w:ascii="PT Astra Serif" w:hAnsi="PT Astra Serif"/>
            <w:sz w:val="28"/>
            <w:szCs w:val="28"/>
            <w:lang w:eastAsia="ru-RU"/>
          </w:rPr>
          <w:t>https://t.me/strahovatelibryansk32</w:t>
        </w:r>
      </w:hyperlink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»  или  позвонив   по  единому  многоканальному региональному  номеру  телефона для страхователей - 8(4832)77-06-79. График работы: понедельник-четверг - с 8:30 до 17:30, пятница - с 8:30 до 16:15, без перерыва.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76200" distB="114300" distL="0" distR="28575" simplePos="0" locked="0" layoutInCell="0" allowOverlap="1" relativeHeight="2" wp14:anchorId="33EA22A1">
                <wp:simplePos x="0" y="0"/>
                <wp:positionH relativeFrom="column">
                  <wp:posOffset>2134870</wp:posOffset>
                </wp:positionH>
                <wp:positionV relativeFrom="paragraph">
                  <wp:posOffset>1062990</wp:posOffset>
                </wp:positionV>
                <wp:extent cx="314325" cy="635"/>
                <wp:effectExtent l="5715" t="44450" r="0" b="43815"/>
                <wp:wrapNone/>
                <wp:docPr id="1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72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len="med" type="arrow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168.1pt;margin-top:83.7pt;width:24.7pt;height:0pt;mso-wrap-style:none;v-text-anchor:middle" wp14:anchorId="33EA22A1" type="_x0000_t32">
                <v:fill o:detectmouseclick="t" on="false"/>
                <v:stroke color="#4a7ebb" weight="9360" endarrow="open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Кроме того, для дистанционного обслуживания страхователей на Интернет – портале Социального фонда России создана «Экспертная система (база знаний) для консультационной поддержки страхователей». Перейти к базе знаний СФР можно на странице Отделения СФР по Брянской области в разделе «Страхователям»    «Экспертная система (база знаний) для консультационной поддержки страхователей» (</w:t>
      </w:r>
      <w:hyperlink r:id="rId3">
        <w:r>
          <w:rPr>
            <w:rFonts w:eastAsia="Times New Roman" w:cs="Times New Roman" w:ascii="PT Astra Serif" w:hAnsi="PT Astra Serif"/>
            <w:sz w:val="28"/>
            <w:szCs w:val="28"/>
            <w:lang w:eastAsia="ru-RU"/>
          </w:rPr>
          <w:t>https://sfr.gov.ru/branches/bryansk/info/~0/12289</w:t>
        </w:r>
      </w:hyperlink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).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PT Astra Serif" w:hAnsi="PT Astra Serif" w:eastAsia="Times New Roman" w:cs="Arial"/>
          <w:color w:val="212121"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color w:val="212121"/>
          <w:sz w:val="28"/>
          <w:szCs w:val="28"/>
          <w:lang w:eastAsia="ru-RU"/>
        </w:rPr>
      </w:r>
    </w:p>
    <w:tbl>
      <w:tblPr>
        <w:tblW w:w="8505" w:type="dxa"/>
        <w:jc w:val="left"/>
        <w:tblInd w:w="10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noVBand="1" w:val="04a0" w:noHBand="0" w:lastColumn="0" w:firstColumn="1" w:lastRow="0" w:firstRow="1"/>
      </w:tblPr>
      <w:tblGrid>
        <w:gridCol w:w="8505"/>
      </w:tblGrid>
      <w:tr>
        <w:trPr/>
        <w:tc>
          <w:tcPr>
            <w:tcW w:w="850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PT Astra Serif" w:hAnsi="PT Astra Serif" w:eastAsia="Times New Roman" w:cs="Arial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b/>
                <w:color w:val="212121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eastAsia="Times New Roman" w:cs="Arial" w:ascii="PT Astra Serif" w:hAnsi="PT Astra Serif"/>
                <w:b/>
                <w:color w:val="212121"/>
                <w:sz w:val="28"/>
                <w:szCs w:val="28"/>
                <w:lang w:eastAsia="ru-RU"/>
              </w:rPr>
              <w:t>Отделение Фонда пенсионного и социального страхования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erif" w:hAnsi="PT Astra Serif" w:eastAsia="Times New Roman" w:cs="Arial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PT Astra Serif" w:hAnsi="PT Astra Serif"/>
                <w:b/>
                <w:color w:val="212121"/>
                <w:sz w:val="28"/>
                <w:szCs w:val="28"/>
                <w:lang w:eastAsia="ru-RU"/>
              </w:rPr>
              <w:t>Российской Федерации по Брянской области</w:t>
            </w:r>
          </w:p>
        </w:tc>
      </w:tr>
    </w:tbl>
    <w:p>
      <w:pPr>
        <w:pStyle w:val="Normal"/>
        <w:spacing w:before="0" w:after="200"/>
        <w:rPr>
          <w:rFonts w:ascii="PT Astra Serif" w:hAnsi="PT Astra Serif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8b78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 w:customStyle="1">
    <w:name w:val="Стиль"/>
    <w:qFormat/>
    <w:rsid w:val="00a74220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b78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.me/strahovatelibryansk32" TargetMode="External"/><Relationship Id="rId3" Type="http://schemas.openxmlformats.org/officeDocument/2006/relationships/hyperlink" Target="https://sfr.gov.ru/branches/bryansk/info/~0/12289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LibreOffice/7.5.2.1$Linux_X86_64 LibreOffice_project/50$Build-1</Application>
  <AppVersion>15.0000</AppVersion>
  <Pages>4</Pages>
  <Words>845</Words>
  <Characters>6482</Characters>
  <CharactersWithSpaces>7310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2024-03-07T08:48:00Z</dcterms:created>
  <dc:creator>Белаш Наталия Николаевна</dc:creator>
  <dc:description/>
  <dc:language>ru-RU</dc:language>
  <cp:lastModifiedBy>Миронова Анна Евгеньевна</cp:lastModifiedBy>
  <dcterms:modified xsi:type="dcterms:W3CDTF">2025-02-17T07:10:00Z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