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C7" w:rsidRPr="00F1061E" w:rsidRDefault="004247C7" w:rsidP="004247C7">
      <w:pPr>
        <w:spacing w:line="312" w:lineRule="auto"/>
        <w:jc w:val="right"/>
        <w:rPr>
          <w:sz w:val="27"/>
          <w:szCs w:val="27"/>
        </w:rPr>
      </w:pPr>
      <w:r w:rsidRPr="00F1061E">
        <w:rPr>
          <w:sz w:val="27"/>
          <w:szCs w:val="27"/>
        </w:rPr>
        <w:t>Приложение</w:t>
      </w:r>
    </w:p>
    <w:p w:rsidR="0008620A" w:rsidRPr="001A6F56" w:rsidRDefault="0008620A" w:rsidP="006E73AD">
      <w:pPr>
        <w:jc w:val="center"/>
        <w:rPr>
          <w:sz w:val="27"/>
          <w:szCs w:val="27"/>
        </w:rPr>
      </w:pPr>
    </w:p>
    <w:p w:rsidR="009440ED" w:rsidRPr="001A6F56" w:rsidRDefault="0008620A" w:rsidP="006E73AD">
      <w:pPr>
        <w:jc w:val="center"/>
        <w:rPr>
          <w:sz w:val="27"/>
          <w:szCs w:val="27"/>
        </w:rPr>
      </w:pPr>
      <w:bookmarkStart w:id="0" w:name="_GoBack"/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</w:t>
      </w:r>
      <w:bookmarkEnd w:id="0"/>
      <w:r w:rsidR="008B0C33" w:rsidRPr="001A6F56">
        <w:rPr>
          <w:sz w:val="27"/>
          <w:szCs w:val="27"/>
        </w:rPr>
        <w:t xml:space="preserve">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440ED" w:rsidRPr="001A6F56" w:rsidRDefault="009440ED" w:rsidP="006E73AD">
      <w:pPr>
        <w:jc w:val="center"/>
        <w:rPr>
          <w:sz w:val="27"/>
          <w:szCs w:val="27"/>
        </w:rPr>
      </w:pPr>
    </w:p>
    <w:p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</w:t>
      </w:r>
      <w:proofErr w:type="gramEnd"/>
      <w:r w:rsidRPr="00D170E7">
        <w:rPr>
          <w:bCs/>
          <w:sz w:val="27"/>
          <w:szCs w:val="27"/>
        </w:rPr>
        <w:t xml:space="preserve">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2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обеспечения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2F7156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>право</w:t>
      </w:r>
      <w:r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страхователя </w:t>
      </w:r>
      <w:r w:rsidRPr="00D170E7">
        <w:rPr>
          <w:sz w:val="27"/>
          <w:szCs w:val="27"/>
        </w:rPr>
        <w:t>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d"/>
          <w:sz w:val="27"/>
          <w:szCs w:val="27"/>
        </w:rPr>
        <w:footnoteReference w:id="3"/>
      </w:r>
      <w:r w:rsidRPr="00D170E7">
        <w:rPr>
          <w:sz w:val="27"/>
          <w:szCs w:val="27"/>
        </w:rPr>
        <w:t>, начисленных страхователем за текущий финансовый год, за вычетом расходов, произведенных в текущем</w:t>
      </w:r>
      <w:proofErr w:type="gramEnd"/>
      <w:r w:rsidRPr="00D170E7">
        <w:rPr>
          <w:sz w:val="27"/>
          <w:szCs w:val="27"/>
        </w:rPr>
        <w:t xml:space="preserve"> </w:t>
      </w:r>
      <w:proofErr w:type="gramStart"/>
      <w:r w:rsidRPr="00D170E7">
        <w:rPr>
          <w:sz w:val="27"/>
          <w:szCs w:val="27"/>
        </w:rPr>
        <w:t xml:space="preserve">календарном году на выплату </w:t>
      </w:r>
      <w:hyperlink r:id="rId9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  <w:proofErr w:type="gramEnd"/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</w:t>
      </w:r>
      <w:proofErr w:type="gramEnd"/>
      <w:r w:rsidRPr="00D170E7">
        <w:rPr>
          <w:sz w:val="27"/>
          <w:szCs w:val="27"/>
        </w:rPr>
        <w:t xml:space="preserve">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10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</w:t>
      </w:r>
      <w:proofErr w:type="gramEnd"/>
      <w:r w:rsidRPr="00D170E7">
        <w:rPr>
          <w:sz w:val="27"/>
          <w:szCs w:val="27"/>
        </w:rPr>
        <w:t xml:space="preserve"> законодательством Российской Федерации.</w:t>
      </w:r>
    </w:p>
    <w:p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FA39D5" w:rsidRPr="00D170E7">
        <w:rPr>
          <w:sz w:val="27"/>
          <w:szCs w:val="27"/>
        </w:rPr>
        <w:t xml:space="preserve"> 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>.</w:t>
      </w:r>
      <w:r w:rsidR="00457310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="00146058" w:rsidRPr="00D170E7">
        <w:rPr>
          <w:sz w:val="27"/>
          <w:szCs w:val="27"/>
        </w:rPr>
        <w:t xml:space="preserve"> 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</w:t>
      </w:r>
      <w:r w:rsidR="00D80344" w:rsidRPr="00D170E7">
        <w:rPr>
          <w:sz w:val="27"/>
          <w:szCs w:val="27"/>
        </w:rPr>
        <w:t xml:space="preserve"> </w:t>
      </w:r>
      <w:r w:rsidR="00146058" w:rsidRPr="00D170E7">
        <w:rPr>
          <w:sz w:val="27"/>
          <w:szCs w:val="27"/>
        </w:rPr>
        <w:t>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 xml:space="preserve">у страхователя на день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1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2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</w:t>
      </w:r>
      <w:proofErr w:type="gramEnd"/>
      <w:r w:rsidRPr="00D170E7">
        <w:rPr>
          <w:sz w:val="27"/>
          <w:szCs w:val="27"/>
        </w:rPr>
        <w:t xml:space="preserve">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Pr="00D170E7">
        <w:rPr>
          <w:sz w:val="27"/>
          <w:szCs w:val="27"/>
        </w:rPr>
        <w:t xml:space="preserve"> </w:t>
      </w:r>
      <w:r w:rsidR="00835D85" w:rsidRPr="00D170E7">
        <w:rPr>
          <w:sz w:val="27"/>
          <w:szCs w:val="27"/>
        </w:rPr>
        <w:t>предупредительной меры</w:t>
      </w:r>
      <w:r w:rsidR="005F416D" w:rsidRPr="00D170E7">
        <w:rPr>
          <w:sz w:val="27"/>
          <w:szCs w:val="27"/>
        </w:rPr>
        <w:t xml:space="preserve"> 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  <w:r w:rsidR="00816C53" w:rsidRPr="00D170E7">
        <w:rPr>
          <w:sz w:val="27"/>
          <w:szCs w:val="27"/>
          <w:lang w:eastAsia="ru-RU"/>
        </w:rPr>
        <w:t xml:space="preserve"> </w:t>
      </w:r>
    </w:p>
    <w:p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lastRenderedPageBreak/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 xml:space="preserve">(sfr.gov.ru)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>о произведенных расходах на финансовое обеспечение предупредительных</w:t>
      </w:r>
      <w:proofErr w:type="gramEnd"/>
      <w:r w:rsidR="00531418" w:rsidRPr="00D170E7">
        <w:rPr>
          <w:rFonts w:eastAsiaTheme="minorHAnsi"/>
          <w:sz w:val="27"/>
          <w:szCs w:val="27"/>
        </w:rPr>
        <w:t xml:space="preserve">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59" w:rsidRDefault="003A0F59" w:rsidP="00B10ABB">
      <w:r>
        <w:separator/>
      </w:r>
    </w:p>
  </w:endnote>
  <w:endnote w:type="continuationSeparator" w:id="0">
    <w:p w:rsidR="003A0F59" w:rsidRDefault="003A0F59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59" w:rsidRDefault="003A0F59" w:rsidP="00B10ABB">
      <w:r>
        <w:separator/>
      </w:r>
    </w:p>
  </w:footnote>
  <w:footnote w:type="continuationSeparator" w:id="0">
    <w:p w:rsidR="003A0F59" w:rsidRDefault="003A0F59" w:rsidP="00B10ABB">
      <w:r>
        <w:continuationSeparator/>
      </w:r>
    </w:p>
  </w:footnote>
  <w:footnote w:id="1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4">
    <w:p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6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A020E8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8620A"/>
    <w:rsid w:val="000976A7"/>
    <w:rsid w:val="000D0867"/>
    <w:rsid w:val="000D5BB1"/>
    <w:rsid w:val="000D7298"/>
    <w:rsid w:val="000E0D34"/>
    <w:rsid w:val="000E527F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3159"/>
    <w:rsid w:val="002A7C8D"/>
    <w:rsid w:val="002C01A2"/>
    <w:rsid w:val="002C0ABF"/>
    <w:rsid w:val="002E69D4"/>
    <w:rsid w:val="002F20C5"/>
    <w:rsid w:val="002F7156"/>
    <w:rsid w:val="00302EA2"/>
    <w:rsid w:val="003252B3"/>
    <w:rsid w:val="003A02E2"/>
    <w:rsid w:val="003A0F59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5117D9"/>
    <w:rsid w:val="00513804"/>
    <w:rsid w:val="005239A8"/>
    <w:rsid w:val="00531418"/>
    <w:rsid w:val="005447EE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020E8"/>
    <w:rsid w:val="00A40AA2"/>
    <w:rsid w:val="00A55827"/>
    <w:rsid w:val="00A56B01"/>
    <w:rsid w:val="00A66188"/>
    <w:rsid w:val="00A8014B"/>
    <w:rsid w:val="00A82E5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4EC2"/>
    <w:rsid w:val="00D170E7"/>
    <w:rsid w:val="00D416F1"/>
    <w:rsid w:val="00D42B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1006&amp;dst=100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006&amp;dst=10001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9918&amp;dst=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65953&amp;dst=100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A7FA8-4F99-4B51-A82E-F98DEC1E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Чернова Екатерина Владимировна</cp:lastModifiedBy>
  <cp:revision>2</cp:revision>
  <cp:lastPrinted>2024-11-28T12:49:00Z</cp:lastPrinted>
  <dcterms:created xsi:type="dcterms:W3CDTF">2025-02-17T12:15:00Z</dcterms:created>
  <dcterms:modified xsi:type="dcterms:W3CDTF">2025-02-17T12:15:00Z</dcterms:modified>
</cp:coreProperties>
</file>